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2ACFBB" w14:textId="005F8E44" w:rsidR="00B11EE1" w:rsidRPr="00962177" w:rsidRDefault="00B11EE1" w:rsidP="0096217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62177">
        <w:rPr>
          <w:b/>
          <w:noProof/>
          <w:sz w:val="24"/>
        </w:rPr>
        <w:t xml:space="preserve">3GPP TSG-RAN WG2 Meeting </w:t>
      </w:r>
      <w:r w:rsidR="00AA6417" w:rsidRPr="00962177">
        <w:rPr>
          <w:b/>
          <w:noProof/>
          <w:sz w:val="24"/>
        </w:rPr>
        <w:t>#1</w:t>
      </w:r>
      <w:r w:rsidR="00E20730" w:rsidRPr="00962177">
        <w:rPr>
          <w:b/>
          <w:noProof/>
          <w:sz w:val="24"/>
        </w:rPr>
        <w:t>21</w:t>
      </w:r>
      <w:r w:rsidR="00C527CD" w:rsidRPr="00962177">
        <w:rPr>
          <w:rFonts w:hint="eastAsia"/>
          <w:b/>
          <w:noProof/>
          <w:sz w:val="24"/>
        </w:rPr>
        <w:t>bis</w:t>
      </w:r>
      <w:r w:rsidRPr="00962177">
        <w:rPr>
          <w:b/>
          <w:noProof/>
          <w:sz w:val="24"/>
        </w:rPr>
        <w:tab/>
      </w:r>
      <w:r w:rsidR="001D7BC5">
        <w:rPr>
          <w:b/>
          <w:noProof/>
          <w:sz w:val="24"/>
        </w:rPr>
        <w:t>R2-2303970</w:t>
      </w:r>
      <w:bookmarkStart w:id="0" w:name="_GoBack"/>
      <w:bookmarkEnd w:id="0"/>
    </w:p>
    <w:p w14:paraId="66700E6D" w14:textId="6335CB2A" w:rsidR="00B11EE1" w:rsidRDefault="00C527CD" w:rsidP="00B11EE1">
      <w:pPr>
        <w:pStyle w:val="CRCoverPage"/>
        <w:tabs>
          <w:tab w:val="right" w:pos="9639"/>
        </w:tabs>
        <w:spacing w:after="0"/>
        <w:rPr>
          <w:rFonts w:eastAsia="宋体"/>
          <w:b/>
          <w:noProof/>
          <w:sz w:val="24"/>
        </w:rPr>
      </w:pPr>
      <w:r>
        <w:rPr>
          <w:b/>
          <w:noProof/>
          <w:sz w:val="24"/>
        </w:rPr>
        <w:t>Online</w:t>
      </w:r>
      <w:r w:rsidR="00E20730" w:rsidRPr="00E2073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="00381E4A" w:rsidRPr="00381E4A">
        <w:rPr>
          <w:b/>
          <w:noProof/>
          <w:sz w:val="24"/>
          <w:vertAlign w:val="superscript"/>
        </w:rPr>
        <w:t>th</w:t>
      </w:r>
      <w:r w:rsidR="00381E4A">
        <w:rPr>
          <w:b/>
          <w:noProof/>
          <w:sz w:val="24"/>
        </w:rPr>
        <w:t xml:space="preserve"> </w:t>
      </w:r>
      <w:r w:rsidR="00812BDE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26</w:t>
      </w:r>
      <w:r>
        <w:rPr>
          <w:b/>
          <w:noProof/>
          <w:sz w:val="24"/>
          <w:vertAlign w:val="superscript"/>
        </w:rPr>
        <w:t>th</w:t>
      </w:r>
      <w:r w:rsidR="00381E4A">
        <w:rPr>
          <w:b/>
          <w:noProof/>
          <w:sz w:val="24"/>
        </w:rPr>
        <w:t xml:space="preserve"> </w:t>
      </w:r>
      <w:r w:rsidR="00812BD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20730" w:rsidRPr="00E20730">
        <w:rPr>
          <w:b/>
          <w:noProof/>
          <w:sz w:val="24"/>
        </w:rPr>
        <w:t>, 202</w:t>
      </w:r>
      <w:r>
        <w:rPr>
          <w:b/>
          <w:noProof/>
          <w:sz w:val="24"/>
        </w:rPr>
        <w:t>3</w:t>
      </w:r>
    </w:p>
    <w:p w14:paraId="73E64F19" w14:textId="77777777" w:rsidR="00B11EE1" w:rsidRDefault="00B11EE1" w:rsidP="004F428F">
      <w:pPr>
        <w:pStyle w:val="3GPPHeader"/>
        <w:rPr>
          <w:lang w:eastAsia="en-US"/>
        </w:rPr>
      </w:pPr>
    </w:p>
    <w:p w14:paraId="65757AAD" w14:textId="7C318675" w:rsidR="00B11EE1" w:rsidRDefault="00B11EE1" w:rsidP="004F428F">
      <w:pPr>
        <w:pStyle w:val="3GPPHeader"/>
        <w:rPr>
          <w:lang w:eastAsia="en-US"/>
        </w:rPr>
      </w:pPr>
      <w:r>
        <w:rPr>
          <w:lang w:eastAsia="en-US"/>
        </w:rPr>
        <w:t>Agenda Item:</w:t>
      </w:r>
      <w:r>
        <w:rPr>
          <w:lang w:eastAsia="en-US"/>
        </w:rPr>
        <w:tab/>
      </w:r>
      <w:r w:rsidR="00962177">
        <w:rPr>
          <w:lang w:eastAsia="en-US"/>
        </w:rPr>
        <w:t>7</w:t>
      </w:r>
      <w:r w:rsidR="00E20730" w:rsidRPr="00E20730">
        <w:rPr>
          <w:lang w:eastAsia="en-US"/>
        </w:rPr>
        <w:t>.1</w:t>
      </w:r>
      <w:r w:rsidR="00334481">
        <w:rPr>
          <w:lang w:eastAsia="en-US"/>
        </w:rPr>
        <w:t>1</w:t>
      </w:r>
      <w:r w:rsidR="00E20730" w:rsidRPr="00E20730">
        <w:rPr>
          <w:lang w:eastAsia="en-US"/>
        </w:rPr>
        <w:t>.</w:t>
      </w:r>
      <w:r w:rsidR="009213AC">
        <w:rPr>
          <w:lang w:eastAsia="en-US"/>
        </w:rPr>
        <w:t>3</w:t>
      </w:r>
      <w:r>
        <w:rPr>
          <w:lang w:eastAsia="en-US"/>
        </w:rPr>
        <w:tab/>
      </w:r>
    </w:p>
    <w:p w14:paraId="66F01DC8" w14:textId="77777777" w:rsidR="00B11EE1" w:rsidRPr="00514335" w:rsidRDefault="00B11EE1" w:rsidP="004F428F">
      <w:pPr>
        <w:pStyle w:val="3GPPHeader"/>
        <w:rPr>
          <w:lang w:eastAsia="en-US"/>
        </w:rPr>
      </w:pPr>
      <w:r>
        <w:rPr>
          <w:lang w:eastAsia="en-US"/>
        </w:rPr>
        <w:t>Source:</w:t>
      </w:r>
      <w:r>
        <w:rPr>
          <w:lang w:eastAsia="en-US"/>
        </w:rPr>
        <w:tab/>
      </w:r>
      <w:r w:rsidRPr="00514335">
        <w:rPr>
          <w:lang w:eastAsia="en-US"/>
        </w:rPr>
        <w:t>Huawei, HiSilicon</w:t>
      </w:r>
    </w:p>
    <w:p w14:paraId="24B360D1" w14:textId="39C28292" w:rsidR="00B11EE1" w:rsidRPr="00514335" w:rsidRDefault="00B11EE1" w:rsidP="004F428F">
      <w:pPr>
        <w:pStyle w:val="3GPPHeader"/>
        <w:rPr>
          <w:lang w:eastAsia="en-US"/>
        </w:rPr>
      </w:pPr>
      <w:r>
        <w:rPr>
          <w:lang w:eastAsia="en-US"/>
        </w:rPr>
        <w:t>Title:</w:t>
      </w:r>
      <w:r>
        <w:rPr>
          <w:lang w:eastAsia="en-US"/>
        </w:rPr>
        <w:tab/>
      </w:r>
      <w:r w:rsidR="00334481">
        <w:rPr>
          <w:lang w:eastAsia="en-US"/>
        </w:rPr>
        <w:t>Discussion on shared processing for MBS broadcast and unicast reception</w:t>
      </w:r>
    </w:p>
    <w:p w14:paraId="1095FFA1" w14:textId="39EBDC02" w:rsidR="00B11EE1" w:rsidRPr="00514335" w:rsidRDefault="00B11EE1" w:rsidP="004F428F">
      <w:pPr>
        <w:pStyle w:val="3GPPHeader"/>
        <w:rPr>
          <w:lang w:eastAsia="en-US"/>
        </w:rPr>
      </w:pPr>
      <w:r>
        <w:rPr>
          <w:lang w:eastAsia="en-US"/>
        </w:rPr>
        <w:t xml:space="preserve">Document for: </w:t>
      </w:r>
      <w:r w:rsidR="00EF7303">
        <w:rPr>
          <w:lang w:eastAsia="en-US"/>
        </w:rPr>
        <w:t xml:space="preserve">  </w:t>
      </w:r>
      <w:r w:rsidR="00EF7303" w:rsidRPr="00EF7303">
        <w:rPr>
          <w:lang w:eastAsia="en-US"/>
        </w:rPr>
        <w:t>Discussion and decision</w:t>
      </w:r>
    </w:p>
    <w:p w14:paraId="657C84D3" w14:textId="77777777" w:rsidR="00B11EE1" w:rsidRDefault="00B11EE1" w:rsidP="00B11EE1">
      <w:pPr>
        <w:pStyle w:val="1"/>
        <w:rPr>
          <w:rFonts w:eastAsia="Malgun Gothic"/>
        </w:rPr>
      </w:pPr>
      <w:r>
        <w:rPr>
          <w:rFonts w:eastAsia="Malgun Gothic"/>
        </w:rPr>
        <w:t>Introduction</w:t>
      </w:r>
    </w:p>
    <w:p w14:paraId="211D65C6" w14:textId="4160E008" w:rsidR="002F1490" w:rsidRPr="003F3CED" w:rsidRDefault="00C33CB2" w:rsidP="004F428F">
      <w:r w:rsidRPr="003F3CED">
        <w:t>In RAN2#1</w:t>
      </w:r>
      <w:r w:rsidR="00C527CD">
        <w:t>2</w:t>
      </w:r>
      <w:r w:rsidR="00334481">
        <w:t>1</w:t>
      </w:r>
      <w:r w:rsidRPr="003F3CED">
        <w:t xml:space="preserve"> meeting, we had the agreements </w:t>
      </w:r>
      <w:r w:rsidR="00BE29D9" w:rsidRPr="003F3CED">
        <w:t>for</w:t>
      </w:r>
      <w:r w:rsidR="00C21075" w:rsidRPr="003F3CED">
        <w:t xml:space="preserve"> </w:t>
      </w:r>
      <w:r w:rsidR="00334481">
        <w:t xml:space="preserve">shared processing </w:t>
      </w:r>
      <w:r w:rsidRPr="003F3CED">
        <w:t>as below</w:t>
      </w:r>
      <w:r w:rsidR="00EA668B" w:rsidRPr="003F3CED">
        <w:t xml:space="preserve"> [1]</w:t>
      </w:r>
      <w:r w:rsidRPr="003F3CED">
        <w:t xml:space="preserve">: </w:t>
      </w:r>
    </w:p>
    <w:tbl>
      <w:tblPr>
        <w:tblStyle w:val="a5"/>
        <w:tblW w:w="9493" w:type="dxa"/>
        <w:tblInd w:w="0" w:type="dxa"/>
        <w:tblLook w:val="04A0" w:firstRow="1" w:lastRow="0" w:firstColumn="1" w:lastColumn="0" w:noHBand="0" w:noVBand="1"/>
      </w:tblPr>
      <w:tblGrid>
        <w:gridCol w:w="9493"/>
      </w:tblGrid>
      <w:tr w:rsidR="002F1490" w:rsidRPr="009839B5" w14:paraId="4D25D517" w14:textId="77777777" w:rsidTr="00A216EE">
        <w:tc>
          <w:tcPr>
            <w:tcW w:w="9493" w:type="dxa"/>
          </w:tcPr>
          <w:p w14:paraId="684F4828" w14:textId="77777777" w:rsidR="00C66B84" w:rsidRDefault="00334481" w:rsidP="004F428F">
            <w:pPr>
              <w:pStyle w:val="Agreement"/>
              <w:numPr>
                <w:ilvl w:val="0"/>
                <w:numId w:val="27"/>
              </w:numPr>
            </w:pPr>
            <w:r>
              <w:t>Indicate the capability of receiving MBS broadcast from a non-serving cell. FFS whether the granularity is at FeatureSetDownlink or FeatureSetDownlinkPerCC level.</w:t>
            </w:r>
          </w:p>
          <w:p w14:paraId="34E19535" w14:textId="10E684E1" w:rsidR="00334481" w:rsidRPr="00334481" w:rsidRDefault="00334481" w:rsidP="004F428F">
            <w:pPr>
              <w:pStyle w:val="Agreement"/>
              <w:numPr>
                <w:ilvl w:val="0"/>
                <w:numId w:val="27"/>
              </w:numPr>
            </w:pPr>
            <w:r>
              <w:t>FFS Whether to include additional information in MII can be controlled by the network. Should consider whether this would be two-step procedure or one-step procedure (e.g. having more info in SIB1).</w:t>
            </w:r>
          </w:p>
        </w:tc>
      </w:tr>
    </w:tbl>
    <w:p w14:paraId="4454E86C" w14:textId="24D565AF" w:rsidR="002F1490" w:rsidRPr="003F3CED" w:rsidRDefault="00BA0422" w:rsidP="004F428F">
      <w:r w:rsidRPr="003F3CED">
        <w:t xml:space="preserve">In this contribution, we </w:t>
      </w:r>
      <w:r w:rsidR="00334481">
        <w:t xml:space="preserve">further </w:t>
      </w:r>
      <w:r w:rsidRPr="003F3CED">
        <w:t xml:space="preserve">discuss the </w:t>
      </w:r>
      <w:r w:rsidR="00334481">
        <w:t>granularity of capability signaling for non-serving cell broadcast reception, the procedure for non-serving cell MII reporting and the content of the MII</w:t>
      </w:r>
      <w:r w:rsidRPr="003F3CED">
        <w:rPr>
          <w:bCs/>
        </w:rPr>
        <w:t>.</w:t>
      </w:r>
    </w:p>
    <w:p w14:paraId="00A14CCC" w14:textId="77777777" w:rsidR="00B11EE1" w:rsidRDefault="00B11EE1" w:rsidP="00B11EE1">
      <w:pPr>
        <w:pStyle w:val="1"/>
        <w:rPr>
          <w:rFonts w:eastAsiaTheme="minorEastAsia"/>
        </w:rPr>
      </w:pPr>
      <w:r>
        <w:rPr>
          <w:rFonts w:eastAsiaTheme="minorEastAsia"/>
        </w:rPr>
        <w:t>Discussion</w:t>
      </w:r>
    </w:p>
    <w:p w14:paraId="04638E65" w14:textId="1769F635" w:rsidR="00334481" w:rsidRDefault="00334481" w:rsidP="00334481">
      <w:pPr>
        <w:pStyle w:val="2"/>
      </w:pPr>
      <w:r>
        <w:rPr>
          <w:rFonts w:eastAsiaTheme="minorEastAsia" w:hint="eastAsia"/>
        </w:rPr>
        <w:t>U</w:t>
      </w:r>
      <w:r>
        <w:rPr>
          <w:rFonts w:eastAsiaTheme="minorEastAsia"/>
        </w:rPr>
        <w:t>E capability signalling</w:t>
      </w:r>
    </w:p>
    <w:p w14:paraId="49E41855" w14:textId="35A8DFF6" w:rsidR="00176930" w:rsidRDefault="00A15C7B" w:rsidP="00176930">
      <w:r>
        <w:rPr>
          <w:rFonts w:hint="eastAsia"/>
        </w:rPr>
        <w:t>In</w:t>
      </w:r>
      <w:r>
        <w:t xml:space="preserve"> last meeting, it was agreed to introduce capability signalling for MBS broadcast reception from a non-serving cell. One reason behind is that the </w:t>
      </w:r>
      <w:r w:rsidRPr="00A15C7B">
        <w:t xml:space="preserve">non-serving cell for broadcast reception may be not synchronised with the serving cells, the supported feature sets </w:t>
      </w:r>
      <w:r>
        <w:t xml:space="preserve">for the band combination with mixed unicast and broadcast capability </w:t>
      </w:r>
      <w:r w:rsidRPr="00A15C7B">
        <w:t xml:space="preserve">may be not identical to the feature sets for </w:t>
      </w:r>
      <w:r>
        <w:t>unicast only</w:t>
      </w:r>
      <w:r w:rsidRPr="00A15C7B">
        <w:t>.</w:t>
      </w:r>
      <w:r>
        <w:t xml:space="preserve"> </w:t>
      </w:r>
      <w:r w:rsidR="00465A03">
        <w:t xml:space="preserve">With such capability signalling, the network can determine which feature set for a band/CC in the band combination </w:t>
      </w:r>
      <w:r w:rsidR="00550A82">
        <w:t>may</w:t>
      </w:r>
      <w:r w:rsidR="00465A03">
        <w:t xml:space="preserve"> be used by the UE for non-serving cell reception. One FFS is whether the capability signalling is defined in per FSPC level or per FS level. </w:t>
      </w:r>
    </w:p>
    <w:p w14:paraId="0F9A0F0B" w14:textId="3DA1A20F" w:rsidR="005A4D34" w:rsidRDefault="00176930" w:rsidP="004F428F">
      <w:r>
        <w:t>In our view, t</w:t>
      </w:r>
      <w:r w:rsidR="00AC3E2E">
        <w:t xml:space="preserve">o simplify capability signalling, a per FS </w:t>
      </w:r>
      <w:r>
        <w:t xml:space="preserve">level </w:t>
      </w:r>
      <w:r w:rsidR="00AC3E2E">
        <w:t xml:space="preserve">capability </w:t>
      </w:r>
      <w:r>
        <w:t xml:space="preserve">combined with the MII reported by the UE </w:t>
      </w:r>
      <w:r w:rsidR="00AC3E2E">
        <w:t xml:space="preserve">is enough for the </w:t>
      </w:r>
      <w:r w:rsidR="00AC5455">
        <w:t>serving gNB</w:t>
      </w:r>
      <w:r w:rsidR="00AC3E2E">
        <w:t xml:space="preserve"> to determine </w:t>
      </w:r>
      <w:r>
        <w:t xml:space="preserve">the occupied </w:t>
      </w:r>
      <w:r w:rsidR="00AC5455">
        <w:t>FSPC</w:t>
      </w:r>
      <w:r>
        <w:t xml:space="preserve"> capability for non-serving cell broadcast reception</w:t>
      </w:r>
      <w:r w:rsidR="00AC3E2E">
        <w:t>.</w:t>
      </w:r>
      <w:r>
        <w:t xml:space="preserve"> It should be also noted that </w:t>
      </w:r>
      <w:r w:rsidR="00AC5455">
        <w:t xml:space="preserve">according to current capability reporting principle, </w:t>
      </w:r>
      <w:r w:rsidR="00647600">
        <w:t>the</w:t>
      </w:r>
      <w:r w:rsidR="003E538B">
        <w:t xml:space="preserve"> FSPCs </w:t>
      </w:r>
      <w:r w:rsidR="005B23B2">
        <w:t xml:space="preserve">within one FeatureSet can only </w:t>
      </w:r>
      <w:r w:rsidR="00E66060">
        <w:t xml:space="preserve">be </w:t>
      </w:r>
      <w:r w:rsidR="005B23B2">
        <w:t>configured as contiguous carriers</w:t>
      </w:r>
      <w:r w:rsidR="00A95507">
        <w:t xml:space="preserve"> </w:t>
      </w:r>
      <w:r w:rsidR="00F969A0">
        <w:t>for unicast from serving cell and</w:t>
      </w:r>
      <w:r w:rsidR="00431C82">
        <w:t xml:space="preserve"> for</w:t>
      </w:r>
      <w:r w:rsidR="00F969A0">
        <w:t xml:space="preserve"> broadcast from non-serving cell</w:t>
      </w:r>
      <w:r>
        <w:t>.</w:t>
      </w:r>
      <w:r w:rsidR="00AC3E2E">
        <w:t xml:space="preserve"> </w:t>
      </w:r>
      <w:r>
        <w:t>Whether</w:t>
      </w:r>
      <w:r w:rsidR="00AC5455">
        <w:t xml:space="preserve"> the other </w:t>
      </w:r>
      <w:r>
        <w:t>FSPCs within the FeatureSet</w:t>
      </w:r>
      <w:r w:rsidR="00AC3E2E">
        <w:t xml:space="preserve"> can be used for unicast</w:t>
      </w:r>
      <w:r>
        <w:t>/multicast</w:t>
      </w:r>
      <w:r w:rsidR="00AC3E2E">
        <w:t xml:space="preserve"> </w:t>
      </w:r>
      <w:r w:rsidR="00AC5455">
        <w:t>should</w:t>
      </w:r>
      <w:r w:rsidR="00AC3E2E">
        <w:t xml:space="preserve"> be left to NW decision based on </w:t>
      </w:r>
      <w:r>
        <w:t xml:space="preserve">carrier </w:t>
      </w:r>
      <w:r>
        <w:rPr>
          <w:rFonts w:hint="eastAsia"/>
        </w:rPr>
        <w:t>de</w:t>
      </w:r>
      <w:r>
        <w:t>ployment. If the contigu</w:t>
      </w:r>
      <w:r w:rsidR="00AC5455">
        <w:t xml:space="preserve">ous carrier configuration </w:t>
      </w:r>
      <w:r>
        <w:t xml:space="preserve">cannot be </w:t>
      </w:r>
      <w:r w:rsidR="00AC5455">
        <w:t>guaranteed</w:t>
      </w:r>
      <w:r>
        <w:t xml:space="preserve"> by the </w:t>
      </w:r>
      <w:r w:rsidR="00AC5455">
        <w:t>serving gNB</w:t>
      </w:r>
      <w:r>
        <w:t xml:space="preserve">, </w:t>
      </w:r>
      <w:r w:rsidR="00647600">
        <w:t xml:space="preserve">the </w:t>
      </w:r>
      <w:r w:rsidR="005B23B2">
        <w:t xml:space="preserve">whole </w:t>
      </w:r>
      <w:r w:rsidR="005A4D34">
        <w:t xml:space="preserve">FeatureSet </w:t>
      </w:r>
      <w:r w:rsidR="00F969A0">
        <w:t>capability</w:t>
      </w:r>
      <w:r w:rsidR="00647600">
        <w:t xml:space="preserve"> should be considered </w:t>
      </w:r>
      <w:r w:rsidR="00F969A0">
        <w:t>occupied</w:t>
      </w:r>
      <w:r w:rsidR="00647600">
        <w:t xml:space="preserve"> for non-serving cell reception</w:t>
      </w:r>
      <w:r w:rsidR="00AC5455">
        <w:t xml:space="preserve">, and the serving gNB may </w:t>
      </w:r>
      <w:r w:rsidR="00431C82">
        <w:t xml:space="preserve">need to </w:t>
      </w:r>
      <w:r w:rsidR="00AC5455">
        <w:t>stop the unicast/multicast on the corresponding band.</w:t>
      </w:r>
      <w:r w:rsidR="00C7564A">
        <w:t xml:space="preserve"> </w:t>
      </w:r>
    </w:p>
    <w:p w14:paraId="0CFBE5B6" w14:textId="18BC6865" w:rsidR="00670B41" w:rsidRDefault="00670B41" w:rsidP="004F428F">
      <w:r w:rsidRPr="00A15C7B">
        <w:t>As shown in Figure-1, when the non</w:t>
      </w:r>
      <w:r w:rsidR="00431C82">
        <w:t>S</w:t>
      </w:r>
      <w:r w:rsidRPr="00A15C7B">
        <w:t>erving</w:t>
      </w:r>
      <w:r w:rsidR="00431C82">
        <w:t>C</w:t>
      </w:r>
      <w:r w:rsidRPr="00A15C7B">
        <w:t>ell</w:t>
      </w:r>
      <w:r w:rsidR="00431C82">
        <w:t>MBS</w:t>
      </w:r>
      <w:r w:rsidRPr="00A15C7B">
        <w:t xml:space="preserve"> capability is indicated for a </w:t>
      </w:r>
      <w:r w:rsidR="005A4D34">
        <w:t>F</w:t>
      </w:r>
      <w:r w:rsidRPr="00A15C7B">
        <w:t>eature</w:t>
      </w:r>
      <w:r w:rsidR="005A4D34">
        <w:t>S</w:t>
      </w:r>
      <w:r w:rsidRPr="00A15C7B">
        <w:t xml:space="preserve">et of band C, </w:t>
      </w:r>
      <w:r>
        <w:t>the network can determine band C will be</w:t>
      </w:r>
      <w:r w:rsidR="00ED2E37">
        <w:t xml:space="preserve"> </w:t>
      </w:r>
      <w:r>
        <w:t>used by the UE for non-serving cell reception after receiving the MII, and</w:t>
      </w:r>
      <w:r w:rsidRPr="00A15C7B">
        <w:t xml:space="preserve"> the </w:t>
      </w:r>
      <w:r>
        <w:t xml:space="preserve">other </w:t>
      </w:r>
      <w:r w:rsidR="005A4D34">
        <w:t>F</w:t>
      </w:r>
      <w:r w:rsidRPr="00A15C7B">
        <w:t>eature</w:t>
      </w:r>
      <w:r w:rsidR="005A4D34">
        <w:t>S</w:t>
      </w:r>
      <w:r w:rsidRPr="00A15C7B">
        <w:t xml:space="preserve">ets </w:t>
      </w:r>
      <w:r>
        <w:t xml:space="preserve">in the band combination </w:t>
      </w:r>
      <w:r w:rsidRPr="00A15C7B">
        <w:t xml:space="preserve">(e.g. </w:t>
      </w:r>
      <w:r w:rsidR="00ED2E37">
        <w:t>FS#1</w:t>
      </w:r>
      <w:r>
        <w:t xml:space="preserve"> for </w:t>
      </w:r>
      <w:r w:rsidRPr="00A15C7B">
        <w:t>band A and</w:t>
      </w:r>
      <w:r w:rsidR="00ED2E37">
        <w:t xml:space="preserve"> FS#3</w:t>
      </w:r>
      <w:r w:rsidRPr="00A15C7B">
        <w:t xml:space="preserve"> band B) in the same line could be used for unicast/multicast transmission.</w:t>
      </w:r>
      <w:r>
        <w:t xml:space="preserve"> </w:t>
      </w:r>
    </w:p>
    <w:p w14:paraId="32A6DF8E" w14:textId="67183352" w:rsidR="00F969A0" w:rsidRPr="00AC3E2E" w:rsidRDefault="00F969A0" w:rsidP="004F428F">
      <w:pPr>
        <w:rPr>
          <w:b/>
        </w:rPr>
      </w:pPr>
      <w:bookmarkStart w:id="1" w:name="_Hlk131689122"/>
      <w:r w:rsidRPr="00AC3E2E">
        <w:rPr>
          <w:rFonts w:hint="eastAsia"/>
          <w:b/>
        </w:rPr>
        <w:t>P</w:t>
      </w:r>
      <w:r w:rsidRPr="00AC3E2E">
        <w:rPr>
          <w:b/>
        </w:rPr>
        <w:t xml:space="preserve">roposal 1: Indicate the capability of receiving MBS broadcast from a non-serving cell </w:t>
      </w:r>
      <w:r w:rsidR="004F428F" w:rsidRPr="00AC3E2E">
        <w:rPr>
          <w:b/>
        </w:rPr>
        <w:t>in</w:t>
      </w:r>
      <w:r w:rsidRPr="00AC3E2E">
        <w:rPr>
          <w:b/>
        </w:rPr>
        <w:t xml:space="preserve"> FeatureSetDownlink</w:t>
      </w:r>
      <w:r w:rsidR="004F428F" w:rsidRPr="00AC3E2E">
        <w:rPr>
          <w:b/>
        </w:rPr>
        <w:t>.</w:t>
      </w:r>
      <w:r w:rsidRPr="00AC3E2E">
        <w:rPr>
          <w:b/>
        </w:rPr>
        <w:t xml:space="preserve"> </w:t>
      </w:r>
    </w:p>
    <w:bookmarkEnd w:id="1"/>
    <w:p w14:paraId="556E260C" w14:textId="77777777" w:rsidR="00670B41" w:rsidRPr="00F969A0" w:rsidRDefault="00670B41" w:rsidP="004F428F"/>
    <w:p w14:paraId="7DB68D98" w14:textId="77777777" w:rsidR="00670B41" w:rsidRDefault="00670B41" w:rsidP="00AC3E2E">
      <w:pPr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762AA8EC" wp14:editId="307516A6">
            <wp:extent cx="3285811" cy="1728980"/>
            <wp:effectExtent l="0" t="0" r="0" b="508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01774" cy="1737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630E5B" w14:textId="77777777" w:rsidR="00670B41" w:rsidRPr="00DE05B8" w:rsidRDefault="00670B41" w:rsidP="00AC3E2E">
      <w:pPr>
        <w:jc w:val="center"/>
      </w:pPr>
      <w:r w:rsidRPr="00DE05B8">
        <w:t>Figure-1 BC and FSC for unicast in serving cell(s) and broadcast in non-serving cell(s)</w:t>
      </w:r>
    </w:p>
    <w:p w14:paraId="10E251F0" w14:textId="77777777" w:rsidR="00670B41" w:rsidRPr="00670B41" w:rsidRDefault="00670B41" w:rsidP="004F428F"/>
    <w:p w14:paraId="362533A8" w14:textId="3D9156D9" w:rsidR="00A95507" w:rsidRDefault="00A95507" w:rsidP="00A95507">
      <w:pPr>
        <w:pStyle w:val="2"/>
        <w:rPr>
          <w:rFonts w:eastAsia="宋体"/>
        </w:rPr>
      </w:pPr>
      <w:r>
        <w:rPr>
          <w:rFonts w:eastAsia="宋体" w:hint="eastAsia"/>
        </w:rPr>
        <w:t>M</w:t>
      </w:r>
      <w:r>
        <w:rPr>
          <w:rFonts w:eastAsia="宋体"/>
        </w:rPr>
        <w:t>II reporting procedure</w:t>
      </w:r>
    </w:p>
    <w:p w14:paraId="36E5AFF8" w14:textId="2AAEB08B" w:rsidR="00DF5F06" w:rsidRPr="00A54388" w:rsidRDefault="00A95507" w:rsidP="005A5BB6">
      <w:pPr>
        <w:rPr>
          <w:b/>
          <w:strike/>
        </w:rPr>
      </w:pPr>
      <w:r w:rsidRPr="00A95507">
        <w:t>In previous</w:t>
      </w:r>
      <w:r>
        <w:t xml:space="preserve"> meeting, it was agreed </w:t>
      </w:r>
      <w:r w:rsidR="004120DC">
        <w:t>to introduce MII reporting for non-serving cell reception, in which the</w:t>
      </w:r>
      <w:r>
        <w:t xml:space="preserve"> broadcast frequency</w:t>
      </w:r>
      <w:r w:rsidR="004120DC">
        <w:t xml:space="preserve">, subcarrier spacing and bandwidth can be included. </w:t>
      </w:r>
      <w:r w:rsidR="004120DC" w:rsidRPr="004120DC">
        <w:t xml:space="preserve">However, </w:t>
      </w:r>
      <w:r w:rsidR="004120DC">
        <w:t>the</w:t>
      </w:r>
      <w:r w:rsidR="004120DC" w:rsidRPr="004120DC">
        <w:t xml:space="preserve"> additional information</w:t>
      </w:r>
      <w:r w:rsidR="004120DC">
        <w:t xml:space="preserve"> like SCS and bandwidth</w:t>
      </w:r>
      <w:r w:rsidR="004120DC" w:rsidRPr="004120DC">
        <w:t xml:space="preserve"> may not be not essential for some cases. For example, for intra-PLMN scenario, the serving gNB may be able to acquire such additional information based on the </w:t>
      </w:r>
      <w:r w:rsidR="004120DC">
        <w:t xml:space="preserve">broadcast </w:t>
      </w:r>
      <w:r w:rsidR="004120DC" w:rsidRPr="004120DC">
        <w:t>frequenc</w:t>
      </w:r>
      <w:r w:rsidR="004120DC">
        <w:t>y</w:t>
      </w:r>
      <w:r w:rsidR="004120DC" w:rsidRPr="004120DC">
        <w:t xml:space="preserve"> indicated by </w:t>
      </w:r>
      <w:r w:rsidR="004120DC">
        <w:t xml:space="preserve">the </w:t>
      </w:r>
      <w:r w:rsidR="004120DC" w:rsidRPr="004120DC">
        <w:t>UE.</w:t>
      </w:r>
      <w:r w:rsidR="009E45D0">
        <w:t xml:space="preserve"> But for inter-PLMN scenario, the network may not able to acquire such information. </w:t>
      </w:r>
    </w:p>
    <w:p w14:paraId="50A198F4" w14:textId="67846CF2" w:rsidR="00F969A0" w:rsidRDefault="004120DC" w:rsidP="004F428F">
      <w:r>
        <w:rPr>
          <w:rFonts w:hint="eastAsia"/>
        </w:rPr>
        <w:t>O</w:t>
      </w:r>
      <w:r>
        <w:t xml:space="preserve">n another hand, </w:t>
      </w:r>
      <w:r w:rsidR="009E45D0">
        <w:t>in some scenario</w:t>
      </w:r>
      <w:r w:rsidR="000F6961">
        <w:t>s</w:t>
      </w:r>
      <w:r w:rsidR="009E45D0">
        <w:t>,</w:t>
      </w:r>
      <w:r>
        <w:t xml:space="preserve"> the UE may not be able to acquire additional information</w:t>
      </w:r>
      <w:r w:rsidR="00D12194">
        <w:t xml:space="preserve"> (e.g. SCS, bandwidth)</w:t>
      </w:r>
      <w:r>
        <w:t xml:space="preserve"> from the non-serving cell</w:t>
      </w:r>
      <w:r w:rsidR="009E45D0">
        <w:t xml:space="preserve"> when configured with certain CA/DC combination by the serving gNB</w:t>
      </w:r>
      <w:r w:rsidR="00C164E9">
        <w:t>, due to capability restrictions</w:t>
      </w:r>
      <w:r w:rsidR="009E45D0">
        <w:t>.</w:t>
      </w:r>
      <w:r w:rsidR="001347BB">
        <w:t xml:space="preserve"> Currently in NR, to report the CGI for inter-frequency or inter-RAT,</w:t>
      </w:r>
      <w:r w:rsidR="009E45D0">
        <w:t xml:space="preserve"> </w:t>
      </w:r>
      <w:r w:rsidR="001347BB">
        <w:t>the UE can be configured to use autonomous gap</w:t>
      </w:r>
      <w:r w:rsidR="004856A5">
        <w:t xml:space="preserve"> configured by the network</w:t>
      </w:r>
      <w:r w:rsidR="001347BB">
        <w:t>. We think similar mechanism can be used to acquire additional information from the non-serving cell.</w:t>
      </w:r>
      <w:r w:rsidR="004856A5">
        <w:t xml:space="preserve"> </w:t>
      </w:r>
      <w:r w:rsidR="00D12194">
        <w:t xml:space="preserve">In this case, </w:t>
      </w:r>
      <w:r w:rsidR="00E41631">
        <w:t xml:space="preserve">the UE </w:t>
      </w:r>
      <w:r w:rsidR="00DF5F06">
        <w:t xml:space="preserve">may </w:t>
      </w:r>
      <w:r w:rsidR="00E41631">
        <w:t>report th</w:t>
      </w:r>
      <w:r w:rsidR="00F969A0">
        <w:t xml:space="preserve">e </w:t>
      </w:r>
      <w:r w:rsidR="00E41631">
        <w:t xml:space="preserve">MII </w:t>
      </w:r>
      <w:r w:rsidR="00F969A0">
        <w:t xml:space="preserve">for non-serving cell reception </w:t>
      </w:r>
      <w:r w:rsidR="00E41631">
        <w:t xml:space="preserve">with a </w:t>
      </w:r>
      <w:r w:rsidR="00D12194">
        <w:t xml:space="preserve">two-step </w:t>
      </w:r>
      <w:r w:rsidR="00E41631">
        <w:t xml:space="preserve">procedure. In the </w:t>
      </w:r>
      <w:r w:rsidR="00FC3A54">
        <w:t xml:space="preserve">first step, the UE reports </w:t>
      </w:r>
      <w:r w:rsidR="00E41631">
        <w:t>the interested broadcast frequency in the MII</w:t>
      </w:r>
      <w:r w:rsidR="00FC3A54">
        <w:t>.</w:t>
      </w:r>
      <w:r w:rsidR="00DF5F06">
        <w:t xml:space="preserve"> </w:t>
      </w:r>
      <w:r w:rsidR="00FC3A54">
        <w:t xml:space="preserve">If </w:t>
      </w:r>
      <w:r w:rsidR="00DF5F06">
        <w:t>a gap</w:t>
      </w:r>
      <w:r w:rsidR="004856A5">
        <w:t xml:space="preserve"> </w:t>
      </w:r>
      <w:r w:rsidR="00DF5F06">
        <w:t>is configured by the network, the additional information can be included in the second MII after reading SIB1/</w:t>
      </w:r>
      <w:r w:rsidR="007D3B66">
        <w:t>SIB20/</w:t>
      </w:r>
      <w:r w:rsidR="00DF5F06">
        <w:t>MCCH from the non-serving cell during the gap period</w:t>
      </w:r>
      <w:r w:rsidR="00E41631">
        <w:t>.</w:t>
      </w:r>
    </w:p>
    <w:p w14:paraId="572BDCC3" w14:textId="3C48B435" w:rsidR="00AB4810" w:rsidRDefault="00F969A0" w:rsidP="004F428F">
      <w:pPr>
        <w:rPr>
          <w:b/>
        </w:rPr>
      </w:pPr>
      <w:r w:rsidRPr="00AC3E2E">
        <w:rPr>
          <w:b/>
        </w:rPr>
        <w:t xml:space="preserve">Proposal </w:t>
      </w:r>
      <w:r w:rsidR="005A5BB6">
        <w:rPr>
          <w:b/>
        </w:rPr>
        <w:t>2</w:t>
      </w:r>
      <w:r w:rsidRPr="00AC3E2E">
        <w:rPr>
          <w:b/>
        </w:rPr>
        <w:t xml:space="preserve">: </w:t>
      </w:r>
      <w:r w:rsidR="00A73620">
        <w:rPr>
          <w:b/>
        </w:rPr>
        <w:t xml:space="preserve">If the UE’s configuration does not allow it </w:t>
      </w:r>
      <w:r w:rsidR="00AB4810">
        <w:rPr>
          <w:b/>
        </w:rPr>
        <w:t>to read the additional information from the non-serving cell, a</w:t>
      </w:r>
      <w:r w:rsidRPr="00AC3E2E">
        <w:rPr>
          <w:b/>
        </w:rPr>
        <w:t xml:space="preserve"> two-step MII procedure can be applied</w:t>
      </w:r>
      <w:r w:rsidR="00AB4810">
        <w:rPr>
          <w:b/>
        </w:rPr>
        <w:t xml:space="preserve">, i.e. </w:t>
      </w:r>
    </w:p>
    <w:p w14:paraId="510FE517" w14:textId="77777777" w:rsidR="00AB4810" w:rsidRDefault="00AB4810" w:rsidP="004F428F">
      <w:pPr>
        <w:rPr>
          <w:b/>
        </w:rPr>
      </w:pPr>
      <w:r>
        <w:rPr>
          <w:b/>
        </w:rPr>
        <w:t>1. Legacy MII is reported in the first step.</w:t>
      </w:r>
    </w:p>
    <w:p w14:paraId="1975BA29" w14:textId="0DF3C40B" w:rsidR="004120DC" w:rsidRPr="00AC3E2E" w:rsidRDefault="00AB4810" w:rsidP="004F428F">
      <w:pPr>
        <w:rPr>
          <w:b/>
        </w:rPr>
      </w:pPr>
      <w:r>
        <w:rPr>
          <w:b/>
        </w:rPr>
        <w:t xml:space="preserve">2. After the network reconfigures the UE accordingly, the UE reads additional information </w:t>
      </w:r>
      <w:r w:rsidRPr="00AC3E2E">
        <w:rPr>
          <w:b/>
        </w:rPr>
        <w:t xml:space="preserve">(e.g. SCS, bandwidth) </w:t>
      </w:r>
      <w:r>
        <w:rPr>
          <w:b/>
        </w:rPr>
        <w:t xml:space="preserve">from the non-serving cell and reports it to the network. </w:t>
      </w:r>
    </w:p>
    <w:p w14:paraId="7AD7CE0E" w14:textId="253DF004" w:rsidR="004F428F" w:rsidRDefault="004F428F" w:rsidP="004F428F">
      <w:pPr>
        <w:pStyle w:val="2"/>
        <w:rPr>
          <w:rFonts w:eastAsia="宋体"/>
        </w:rPr>
      </w:pPr>
      <w:r>
        <w:rPr>
          <w:rFonts w:eastAsia="宋体" w:hint="eastAsia"/>
        </w:rPr>
        <w:t>M</w:t>
      </w:r>
      <w:r>
        <w:rPr>
          <w:rFonts w:eastAsia="宋体"/>
        </w:rPr>
        <w:t>II content</w:t>
      </w:r>
    </w:p>
    <w:p w14:paraId="772216F4" w14:textId="5ED776CD" w:rsidR="004F428F" w:rsidRDefault="004F428F" w:rsidP="004F428F">
      <w:r>
        <w:t xml:space="preserve">In our </w:t>
      </w:r>
      <w:r w:rsidRPr="004F428F">
        <w:t>understand</w:t>
      </w:r>
      <w:r>
        <w:t>ing,</w:t>
      </w:r>
      <w:r w:rsidRPr="004F428F">
        <w:t xml:space="preserve"> the MBS broadcast configuration in the non-serving cell should be aligned with that used for serving cell configuration in Rel-17. </w:t>
      </w:r>
      <w:r>
        <w:t>If SCS is included in the MII for shared processing, the SCS should</w:t>
      </w:r>
      <w:r w:rsidRPr="004F428F">
        <w:t xml:space="preserve"> be </w:t>
      </w:r>
      <w:r w:rsidR="00AC3E2E">
        <w:t xml:space="preserve">that </w:t>
      </w:r>
      <w:r w:rsidRPr="004F428F">
        <w:t xml:space="preserve">of the initial BWP (i.e. CORESET#0) </w:t>
      </w:r>
      <w:r>
        <w:t>of</w:t>
      </w:r>
      <w:r w:rsidRPr="004F428F">
        <w:t xml:space="preserve"> the non-serving cell</w:t>
      </w:r>
      <w:r>
        <w:t>.</w:t>
      </w:r>
      <w:r w:rsidRPr="004F428F">
        <w:t xml:space="preserve"> </w:t>
      </w:r>
      <w:r w:rsidR="00AC3E2E">
        <w:t>Besides, for the bandwidth included in the MII, i</w:t>
      </w:r>
      <w:r w:rsidRPr="004F428F">
        <w:t xml:space="preserve">t may be proposed to </w:t>
      </w:r>
      <w:r w:rsidR="005F0D38">
        <w:t xml:space="preserve">either </w:t>
      </w:r>
      <w:r w:rsidRPr="004F428F">
        <w:t>include cell bandwidth or CFR bandwidth</w:t>
      </w:r>
      <w:r w:rsidR="00AC3E2E">
        <w:t xml:space="preserve"> of the non-serving cell</w:t>
      </w:r>
      <w:r w:rsidRPr="004F428F">
        <w:t>. However, it shall be noted</w:t>
      </w:r>
      <w:r w:rsidR="00A87719">
        <w:t xml:space="preserve"> that</w:t>
      </w:r>
      <w:r w:rsidRPr="004F428F">
        <w:t xml:space="preserve"> when the UE camps on a cell, the UE only needs to support a bandwidth which is larger than initial</w:t>
      </w:r>
      <w:r w:rsidR="00A87719">
        <w:t xml:space="preserve"> </w:t>
      </w:r>
      <w:r w:rsidRPr="004F428F">
        <w:t>BWP and smaller than</w:t>
      </w:r>
      <w:r w:rsidR="00A87719">
        <w:t xml:space="preserve"> the</w:t>
      </w:r>
      <w:r w:rsidRPr="004F428F">
        <w:t xml:space="preserve"> cell bandwidth as </w:t>
      </w:r>
      <w:r w:rsidR="00A87719">
        <w:t>indicated in</w:t>
      </w:r>
      <w:r w:rsidRPr="004F428F">
        <w:t xml:space="preserve"> [38331]:</w:t>
      </w: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6A040B" w14:paraId="1D2925BE" w14:textId="77777777" w:rsidTr="006A040B">
        <w:tc>
          <w:tcPr>
            <w:tcW w:w="9629" w:type="dxa"/>
          </w:tcPr>
          <w:p w14:paraId="4D90D01E" w14:textId="77777777" w:rsidR="006A040B" w:rsidRPr="006A040B" w:rsidRDefault="006A040B" w:rsidP="006A040B">
            <w:pPr>
              <w:pStyle w:val="B2"/>
              <w:spacing w:after="0"/>
              <w:rPr>
                <w:rFonts w:ascii="Times New Roman" w:hAnsi="Times New Roman" w:cs="Times New Roman"/>
              </w:rPr>
            </w:pPr>
            <w:r w:rsidRPr="006A040B">
              <w:rPr>
                <w:rFonts w:ascii="Times New Roman" w:hAnsi="Times New Roman" w:cs="Times New Roman"/>
              </w:rPr>
              <w:t>2&gt;</w:t>
            </w:r>
            <w:r w:rsidRPr="006A040B">
              <w:rPr>
                <w:rFonts w:ascii="Times New Roman" w:hAnsi="Times New Roman" w:cs="Times New Roman"/>
              </w:rPr>
              <w:tab/>
              <w:t>if the UE supports a downlink channel bandwidth with a maximum transmission bandwidth configuration (see TS 38.101-1 [15] and TS 38.101-2 [39]) which</w:t>
            </w:r>
          </w:p>
          <w:p w14:paraId="478CE3DE" w14:textId="77777777" w:rsidR="006A040B" w:rsidRPr="006A040B" w:rsidRDefault="006A040B" w:rsidP="006A040B">
            <w:pPr>
              <w:pStyle w:val="B3"/>
              <w:spacing w:after="0"/>
              <w:rPr>
                <w:rFonts w:ascii="Times New Roman" w:hAnsi="Times New Roman" w:cs="Times New Roman"/>
              </w:rPr>
            </w:pPr>
            <w:r w:rsidRPr="006A040B">
              <w:rPr>
                <w:rFonts w:ascii="Times New Roman" w:hAnsi="Times New Roman" w:cs="Times New Roman"/>
              </w:rPr>
              <w:t>-</w:t>
            </w:r>
            <w:r w:rsidRPr="006A040B">
              <w:rPr>
                <w:rFonts w:ascii="Times New Roman" w:hAnsi="Times New Roman" w:cs="Times New Roman"/>
              </w:rPr>
              <w:tab/>
              <w:t xml:space="preserve">is smaller than or equal to the </w:t>
            </w:r>
            <w:r w:rsidRPr="006A040B">
              <w:rPr>
                <w:rFonts w:ascii="Times New Roman" w:hAnsi="Times New Roman" w:cs="Times New Roman"/>
                <w:i/>
              </w:rPr>
              <w:t>carrierBandwidth</w:t>
            </w:r>
            <w:r w:rsidRPr="006A040B">
              <w:rPr>
                <w:rFonts w:ascii="Times New Roman" w:hAnsi="Times New Roman" w:cs="Times New Roman"/>
              </w:rPr>
              <w:t xml:space="preserve"> (indicated in </w:t>
            </w:r>
            <w:r w:rsidRPr="006A040B">
              <w:rPr>
                <w:rFonts w:ascii="Times New Roman" w:hAnsi="Times New Roman" w:cs="Times New Roman"/>
                <w:i/>
              </w:rPr>
              <w:t>downlinkConfigCommon</w:t>
            </w:r>
            <w:r w:rsidRPr="006A040B">
              <w:rPr>
                <w:rFonts w:ascii="Times New Roman" w:hAnsi="Times New Roman" w:cs="Times New Roman"/>
              </w:rPr>
              <w:t xml:space="preserve"> for the SCS of the initial downlink BWP or, for RedCap UE, of the RedCap-specific initial downlink BWP if configured), and which</w:t>
            </w:r>
          </w:p>
          <w:p w14:paraId="4D1797D8" w14:textId="616CEF60" w:rsidR="006A040B" w:rsidRPr="006A040B" w:rsidRDefault="006A040B" w:rsidP="006A040B">
            <w:pPr>
              <w:pStyle w:val="B3"/>
              <w:rPr>
                <w:rFonts w:ascii="Times New Roman" w:hAnsi="Times New Roman" w:cs="Times New Roman"/>
              </w:rPr>
            </w:pPr>
            <w:r w:rsidRPr="006A040B">
              <w:rPr>
                <w:rFonts w:ascii="Times New Roman" w:hAnsi="Times New Roman" w:cs="Times New Roman"/>
              </w:rPr>
              <w:t>-</w:t>
            </w:r>
            <w:r w:rsidRPr="006A040B">
              <w:rPr>
                <w:rFonts w:ascii="Times New Roman" w:hAnsi="Times New Roman" w:cs="Times New Roman"/>
              </w:rPr>
              <w:tab/>
              <w:t>is wider than or equal to the bandwidth of the initial downlink BWP or, for RedCap UE, of the RedCap-specific initial downlink BWP if configured, and</w:t>
            </w:r>
          </w:p>
        </w:tc>
      </w:tr>
    </w:tbl>
    <w:p w14:paraId="776E6E16" w14:textId="03F22C02" w:rsidR="004F428F" w:rsidRPr="001E33A0" w:rsidRDefault="004F428F" w:rsidP="004F428F">
      <w:pPr>
        <w:rPr>
          <w:i/>
        </w:rPr>
      </w:pPr>
      <w:r>
        <w:t xml:space="preserve">Therefore, when the UE performs broadcast reception, the indicated bandwidth can be the channel bandwidth </w:t>
      </w:r>
      <w:r w:rsidR="004F2B99">
        <w:t xml:space="preserve">actually </w:t>
      </w:r>
      <w:r>
        <w:t xml:space="preserve">used by the UE for broadcast reception in the non-serving cell, which covers the broadcast CFR bandwidth </w:t>
      </w:r>
      <w:r w:rsidR="00A76B0B">
        <w:t xml:space="preserve">but can be smaller </w:t>
      </w:r>
      <w:r>
        <w:t xml:space="preserve">than the carrier bandwidth of the non-serving cell. This will give NW more precise information about how much processing capability can be left to unicast/multicast scheduling. </w:t>
      </w:r>
    </w:p>
    <w:p w14:paraId="62823861" w14:textId="5349B974" w:rsidR="004F428F" w:rsidRPr="00AC3E2E" w:rsidRDefault="004F428F" w:rsidP="004F428F">
      <w:pPr>
        <w:rPr>
          <w:b/>
        </w:rPr>
      </w:pPr>
      <w:r w:rsidRPr="00AC3E2E">
        <w:rPr>
          <w:b/>
        </w:rPr>
        <w:lastRenderedPageBreak/>
        <w:t xml:space="preserve">Proposal </w:t>
      </w:r>
      <w:r w:rsidR="005A5BB6">
        <w:rPr>
          <w:b/>
        </w:rPr>
        <w:t>3</w:t>
      </w:r>
      <w:r w:rsidRPr="00AC3E2E">
        <w:rPr>
          <w:b/>
        </w:rPr>
        <w:t xml:space="preserve">: The SCS indicated in the MII is the SCS of the initial BWP </w:t>
      </w:r>
      <w:r w:rsidR="00AC3E2E">
        <w:rPr>
          <w:b/>
        </w:rPr>
        <w:t>of</w:t>
      </w:r>
      <w:r w:rsidRPr="00AC3E2E">
        <w:rPr>
          <w:b/>
        </w:rPr>
        <w:t xml:space="preserve"> the non-serving cell where the UE intends to receive MBS broadcast.</w:t>
      </w:r>
    </w:p>
    <w:p w14:paraId="38B9BAC7" w14:textId="4D1EEB11" w:rsidR="004F428F" w:rsidRPr="00AC3E2E" w:rsidRDefault="004F428F" w:rsidP="004F428F">
      <w:pPr>
        <w:rPr>
          <w:b/>
        </w:rPr>
      </w:pPr>
      <w:r w:rsidRPr="00AC3E2E">
        <w:rPr>
          <w:b/>
        </w:rPr>
        <w:t xml:space="preserve">Proposal </w:t>
      </w:r>
      <w:r w:rsidR="005A5BB6">
        <w:rPr>
          <w:b/>
        </w:rPr>
        <w:t>4</w:t>
      </w:r>
      <w:r w:rsidRPr="00AC3E2E">
        <w:rPr>
          <w:b/>
        </w:rPr>
        <w:t>: The bandwidth indicated in the MII is the channel bandwidth used by the UE for broadcast reception in the non-serving cell, which covers the CFR bandwidth.</w:t>
      </w:r>
    </w:p>
    <w:p w14:paraId="21474FB7" w14:textId="05A614C0" w:rsidR="00267128" w:rsidRDefault="004F428F" w:rsidP="004F428F">
      <w:r>
        <w:t xml:space="preserve">To assist the gNB to select a </w:t>
      </w:r>
      <w:r w:rsidR="00AC3E2E">
        <w:t xml:space="preserve">correct </w:t>
      </w:r>
      <w:r>
        <w:t>feature set for broadcast reception, the gNB needs to know the required bandwidth/SCS/MIMO layer/MCS for broadcast as show</w:t>
      </w:r>
      <w:r w:rsidR="00FB38EF">
        <w:t>n</w:t>
      </w:r>
      <w:r>
        <w:t xml:space="preserve"> in the figure </w:t>
      </w:r>
      <w:r w:rsidR="00267128">
        <w:t>below</w:t>
      </w:r>
      <w:r>
        <w:t xml:space="preserve">. </w:t>
      </w:r>
    </w:p>
    <w:p w14:paraId="399B3309" w14:textId="77777777" w:rsidR="00267128" w:rsidRDefault="00267128" w:rsidP="00267128">
      <w:pPr>
        <w:jc w:val="center"/>
      </w:pPr>
      <w:r>
        <w:rPr>
          <w:noProof/>
          <w:lang w:val="en-US"/>
        </w:rPr>
        <w:drawing>
          <wp:inline distT="0" distB="0" distL="0" distR="0" wp14:anchorId="67D4AFC3" wp14:editId="6567C9B8">
            <wp:extent cx="5507642" cy="1497965"/>
            <wp:effectExtent l="0" t="0" r="0" b="6985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512295" cy="1499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01BDA2" w14:textId="77777777" w:rsidR="00267128" w:rsidRPr="001E33A0" w:rsidRDefault="00267128" w:rsidP="00267128">
      <w:pPr>
        <w:jc w:val="center"/>
        <w:rPr>
          <w:b/>
        </w:rPr>
      </w:pPr>
      <w:r>
        <w:rPr>
          <w:rFonts w:hint="eastAsia"/>
        </w:rPr>
        <w:t>F</w:t>
      </w:r>
      <w:r>
        <w:t>igure-2 UE capability parameters within FeatureSetDownlinkPerCC</w:t>
      </w:r>
    </w:p>
    <w:p w14:paraId="2040422F" w14:textId="27321CB6" w:rsidR="004F428F" w:rsidRDefault="004F428F" w:rsidP="004F428F">
      <w:r>
        <w:t xml:space="preserve">Since the MIMO layer for broadcast is fixed to be 1 layer, it is not needed to be indicated for </w:t>
      </w:r>
      <w:r w:rsidR="00AC5455">
        <w:t>FSPC</w:t>
      </w:r>
      <w:r>
        <w:t xml:space="preserve"> selection. Besides the bandwidth and the SCS, we think modulation order is another helpful parameter to be included in the MII, for the serving gNB to know the </w:t>
      </w:r>
      <w:r w:rsidR="00AC5455">
        <w:t>FSPC</w:t>
      </w:r>
      <w:r>
        <w:t xml:space="preserve"> used for broadcast reception more accurately. </w:t>
      </w:r>
    </w:p>
    <w:p w14:paraId="542DA11E" w14:textId="71BC7786" w:rsidR="004F428F" w:rsidRPr="00AC5455" w:rsidRDefault="004F428F" w:rsidP="004F428F">
      <w:pPr>
        <w:rPr>
          <w:b/>
        </w:rPr>
      </w:pPr>
      <w:r w:rsidRPr="00AC5455">
        <w:rPr>
          <w:b/>
        </w:rPr>
        <w:t xml:space="preserve">Proposal </w:t>
      </w:r>
      <w:r w:rsidR="005A5BB6">
        <w:rPr>
          <w:b/>
        </w:rPr>
        <w:t>5</w:t>
      </w:r>
      <w:r w:rsidRPr="00AC5455">
        <w:rPr>
          <w:b/>
        </w:rPr>
        <w:t>: Include modulation order in the MII for shared processing.</w:t>
      </w:r>
    </w:p>
    <w:p w14:paraId="491C9810" w14:textId="77777777" w:rsidR="00B11EE1" w:rsidRDefault="00B11EE1" w:rsidP="00B11EE1">
      <w:pPr>
        <w:pStyle w:val="1"/>
        <w:rPr>
          <w:rFonts w:eastAsia="Malgun Gothic"/>
        </w:rPr>
      </w:pPr>
      <w:r>
        <w:rPr>
          <w:rFonts w:eastAsia="Malgun Gothic"/>
        </w:rPr>
        <w:t>Conclusion</w:t>
      </w:r>
    </w:p>
    <w:p w14:paraId="38B1F557" w14:textId="00408232" w:rsidR="00B11EE1" w:rsidRDefault="00B11EE1" w:rsidP="004F428F">
      <w:pPr>
        <w:pStyle w:val="a3"/>
      </w:pPr>
      <w:r w:rsidRPr="00CE1831">
        <w:t xml:space="preserve">In this contribution, we provide </w:t>
      </w:r>
      <w:r w:rsidR="00D167AE" w:rsidRPr="00CE1831">
        <w:t>the following proposals</w:t>
      </w:r>
      <w:r w:rsidR="00D704B5">
        <w:t>:</w:t>
      </w:r>
    </w:p>
    <w:p w14:paraId="21BE0074" w14:textId="77777777" w:rsidR="006A040B" w:rsidRPr="00AC3E2E" w:rsidRDefault="006A040B" w:rsidP="006A040B">
      <w:pPr>
        <w:rPr>
          <w:b/>
        </w:rPr>
      </w:pPr>
      <w:r w:rsidRPr="00AC3E2E">
        <w:rPr>
          <w:rFonts w:hint="eastAsia"/>
          <w:b/>
        </w:rPr>
        <w:t>P</w:t>
      </w:r>
      <w:r w:rsidRPr="00AC3E2E">
        <w:rPr>
          <w:b/>
        </w:rPr>
        <w:t xml:space="preserve">roposal 1: Indicate the capability of receiving MBS broadcast from a non-serving cell in FeatureSetDownlink. </w:t>
      </w:r>
    </w:p>
    <w:p w14:paraId="3732B21F" w14:textId="7D8F71CF" w:rsidR="006A040B" w:rsidRDefault="006A040B" w:rsidP="006A040B">
      <w:pPr>
        <w:rPr>
          <w:b/>
        </w:rPr>
      </w:pPr>
      <w:r w:rsidRPr="00AC3E2E">
        <w:rPr>
          <w:b/>
        </w:rPr>
        <w:t xml:space="preserve">Proposal </w:t>
      </w:r>
      <w:r w:rsidR="005A5BB6">
        <w:rPr>
          <w:b/>
        </w:rPr>
        <w:t>2</w:t>
      </w:r>
      <w:r w:rsidRPr="00AC3E2E">
        <w:rPr>
          <w:b/>
        </w:rPr>
        <w:t xml:space="preserve">: </w:t>
      </w:r>
      <w:r>
        <w:rPr>
          <w:b/>
        </w:rPr>
        <w:t>If the UE’s configuration does not allow it to read the additional information from the non-serving cell, a</w:t>
      </w:r>
      <w:r w:rsidRPr="00AC3E2E">
        <w:rPr>
          <w:b/>
        </w:rPr>
        <w:t xml:space="preserve"> two-step MII procedure can be applied</w:t>
      </w:r>
      <w:r>
        <w:rPr>
          <w:b/>
        </w:rPr>
        <w:t xml:space="preserve">, i.e. </w:t>
      </w:r>
    </w:p>
    <w:p w14:paraId="2EE8195E" w14:textId="77777777" w:rsidR="006A040B" w:rsidRDefault="006A040B" w:rsidP="006A040B">
      <w:pPr>
        <w:rPr>
          <w:b/>
        </w:rPr>
      </w:pPr>
      <w:r>
        <w:rPr>
          <w:b/>
        </w:rPr>
        <w:t>1. Legacy MII is reported in the first step.</w:t>
      </w:r>
    </w:p>
    <w:p w14:paraId="1921F747" w14:textId="77777777" w:rsidR="006A040B" w:rsidRPr="00AC3E2E" w:rsidRDefault="006A040B" w:rsidP="006A040B">
      <w:pPr>
        <w:rPr>
          <w:b/>
        </w:rPr>
      </w:pPr>
      <w:r>
        <w:rPr>
          <w:b/>
        </w:rPr>
        <w:t xml:space="preserve">2. After the network reconfigures the UE accordingly, the UE reads additional information </w:t>
      </w:r>
      <w:r w:rsidRPr="00AC3E2E">
        <w:rPr>
          <w:b/>
        </w:rPr>
        <w:t xml:space="preserve">(e.g. SCS, bandwidth) </w:t>
      </w:r>
      <w:r>
        <w:rPr>
          <w:b/>
        </w:rPr>
        <w:t xml:space="preserve">from the non-serving cell and reports it to the network. </w:t>
      </w:r>
    </w:p>
    <w:p w14:paraId="4492EC2D" w14:textId="500412A6" w:rsidR="006A040B" w:rsidRPr="00AC3E2E" w:rsidRDefault="006A040B" w:rsidP="006A040B">
      <w:pPr>
        <w:rPr>
          <w:b/>
        </w:rPr>
      </w:pPr>
      <w:r w:rsidRPr="00AC3E2E">
        <w:rPr>
          <w:b/>
        </w:rPr>
        <w:t xml:space="preserve">Proposal </w:t>
      </w:r>
      <w:r w:rsidR="005A5BB6">
        <w:rPr>
          <w:b/>
        </w:rPr>
        <w:t>3</w:t>
      </w:r>
      <w:r w:rsidRPr="00AC3E2E">
        <w:rPr>
          <w:b/>
        </w:rPr>
        <w:t xml:space="preserve">: The SCS indicated in the MII is the SCS of the initial BWP </w:t>
      </w:r>
      <w:r>
        <w:rPr>
          <w:b/>
        </w:rPr>
        <w:t>of</w:t>
      </w:r>
      <w:r w:rsidRPr="00AC3E2E">
        <w:rPr>
          <w:b/>
        </w:rPr>
        <w:t xml:space="preserve"> the non-serving cell where the UE intends to receive MBS broadcast.</w:t>
      </w:r>
    </w:p>
    <w:p w14:paraId="537B645F" w14:textId="52105CF0" w:rsidR="006A040B" w:rsidRPr="00AC3E2E" w:rsidRDefault="006A040B" w:rsidP="006A040B">
      <w:pPr>
        <w:rPr>
          <w:b/>
        </w:rPr>
      </w:pPr>
      <w:r w:rsidRPr="00AC3E2E">
        <w:rPr>
          <w:b/>
        </w:rPr>
        <w:t xml:space="preserve">Proposal </w:t>
      </w:r>
      <w:r w:rsidR="005A5BB6">
        <w:rPr>
          <w:b/>
        </w:rPr>
        <w:t>4</w:t>
      </w:r>
      <w:r w:rsidRPr="00AC3E2E">
        <w:rPr>
          <w:b/>
        </w:rPr>
        <w:t>: The bandwidth indicated in the MII is the channel bandwidth used by the UE for broadcast reception in the non-serving cell, which covers the CFR bandwidth.</w:t>
      </w:r>
    </w:p>
    <w:p w14:paraId="2FB9EF4F" w14:textId="61D9041C" w:rsidR="00F76553" w:rsidRPr="006A040B" w:rsidRDefault="006A040B" w:rsidP="006A040B">
      <w:pPr>
        <w:rPr>
          <w:b/>
        </w:rPr>
      </w:pPr>
      <w:r w:rsidRPr="00AC5455">
        <w:rPr>
          <w:b/>
        </w:rPr>
        <w:t xml:space="preserve">Proposal </w:t>
      </w:r>
      <w:r w:rsidR="005A5BB6">
        <w:rPr>
          <w:b/>
        </w:rPr>
        <w:t>5</w:t>
      </w:r>
      <w:r w:rsidRPr="00AC5455">
        <w:rPr>
          <w:b/>
        </w:rPr>
        <w:t>: Include modulation order in the MII for shared processing.</w:t>
      </w:r>
    </w:p>
    <w:p w14:paraId="79ACB3C9" w14:textId="77777777" w:rsidR="00B11EE1" w:rsidRDefault="00B11EE1" w:rsidP="00B11EE1">
      <w:pPr>
        <w:pStyle w:val="1"/>
        <w:rPr>
          <w:rFonts w:eastAsia="Malgun Gothic"/>
        </w:rPr>
      </w:pPr>
      <w:r>
        <w:rPr>
          <w:rFonts w:eastAsia="Malgun Gothic"/>
        </w:rPr>
        <w:t>References</w:t>
      </w:r>
    </w:p>
    <w:p w14:paraId="7341EB3F" w14:textId="6721FD57" w:rsidR="00B11EE1" w:rsidRPr="00013F9F" w:rsidRDefault="00AC5455" w:rsidP="00AC5455">
      <w:r>
        <w:t xml:space="preserve">[1] </w:t>
      </w:r>
      <w:r w:rsidR="00EA668B">
        <w:t>RAN2#1</w:t>
      </w:r>
      <w:r w:rsidR="00912EBE">
        <w:t>21</w:t>
      </w:r>
      <w:r w:rsidR="00EA668B">
        <w:t xml:space="preserve"> chairman’s note.</w:t>
      </w:r>
    </w:p>
    <w:p w14:paraId="4DAEACE2" w14:textId="1E00D9B6" w:rsidR="00A07729" w:rsidRPr="00912EBE" w:rsidRDefault="00AC5455" w:rsidP="00AC5455">
      <w:r>
        <w:t xml:space="preserve">[2] </w:t>
      </w:r>
      <w:r w:rsidR="004D2483" w:rsidRPr="00CE1831">
        <w:t>R2-2</w:t>
      </w:r>
      <w:r>
        <w:t>301164</w:t>
      </w:r>
      <w:r w:rsidR="00E8002A" w:rsidRPr="00CE1831">
        <w:t xml:space="preserve">, </w:t>
      </w:r>
      <w:r w:rsidRPr="00AC5455">
        <w:t>Discussion on shared processing for MBS broadcast and unicast reception</w:t>
      </w:r>
      <w:r w:rsidR="00F03332" w:rsidRPr="00CE1831">
        <w:t>, Huawei, HiSilicon.</w:t>
      </w:r>
    </w:p>
    <w:sectPr w:rsidR="00A07729" w:rsidRPr="00912EBE" w:rsidSect="00514335">
      <w:pgSz w:w="11906" w:h="16838"/>
      <w:pgMar w:top="1440" w:right="1133" w:bottom="144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85CD37" w14:textId="77777777" w:rsidR="0047765C" w:rsidRDefault="0047765C" w:rsidP="004F428F">
      <w:r>
        <w:separator/>
      </w:r>
    </w:p>
  </w:endnote>
  <w:endnote w:type="continuationSeparator" w:id="0">
    <w:p w14:paraId="56CC23CA" w14:textId="77777777" w:rsidR="0047765C" w:rsidRDefault="0047765C" w:rsidP="004F42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C32CBC" w14:textId="77777777" w:rsidR="0047765C" w:rsidRDefault="0047765C" w:rsidP="004F428F">
      <w:r>
        <w:separator/>
      </w:r>
    </w:p>
  </w:footnote>
  <w:footnote w:type="continuationSeparator" w:id="0">
    <w:p w14:paraId="34DF29AF" w14:textId="77777777" w:rsidR="0047765C" w:rsidRDefault="0047765C" w:rsidP="004F42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141A8"/>
    <w:multiLevelType w:val="hybridMultilevel"/>
    <w:tmpl w:val="89D2C238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B52194"/>
    <w:multiLevelType w:val="hybridMultilevel"/>
    <w:tmpl w:val="12C45B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552047"/>
    <w:multiLevelType w:val="multilevel"/>
    <w:tmpl w:val="70DE82F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lang w:val="en-US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lang w:val="en-US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82402A1"/>
    <w:multiLevelType w:val="hybridMultilevel"/>
    <w:tmpl w:val="461C0E8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E83EA3"/>
    <w:multiLevelType w:val="hybridMultilevel"/>
    <w:tmpl w:val="F3D8402C"/>
    <w:lvl w:ilvl="0" w:tplc="08090001">
      <w:start w:val="1"/>
      <w:numFmt w:val="bullet"/>
      <w:lvlText w:val=""/>
      <w:lvlJc w:val="left"/>
      <w:pPr>
        <w:ind w:left="-2196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-147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-75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-3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68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140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212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284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3564" w:hanging="360"/>
      </w:pPr>
      <w:rPr>
        <w:rFonts w:ascii="Wingdings" w:hAnsi="Wingdings" w:hint="default"/>
      </w:rPr>
    </w:lvl>
  </w:abstractNum>
  <w:abstractNum w:abstractNumId="5" w15:restartNumberingAfterBreak="0">
    <w:nsid w:val="14BB7C8D"/>
    <w:multiLevelType w:val="hybridMultilevel"/>
    <w:tmpl w:val="E76A883E"/>
    <w:lvl w:ilvl="0" w:tplc="FFFFFFFF">
      <w:start w:val="1"/>
      <w:numFmt w:val="bullet"/>
      <w:lvlText w:val=""/>
      <w:lvlJc w:val="left"/>
      <w:pPr>
        <w:ind w:left="987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6" w15:restartNumberingAfterBreak="0">
    <w:nsid w:val="16060817"/>
    <w:multiLevelType w:val="hybridMultilevel"/>
    <w:tmpl w:val="109686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FF4C55"/>
    <w:multiLevelType w:val="hybridMultilevel"/>
    <w:tmpl w:val="3C3AE9D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B2502DB"/>
    <w:multiLevelType w:val="hybridMultilevel"/>
    <w:tmpl w:val="707CE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266A59"/>
    <w:multiLevelType w:val="hybridMultilevel"/>
    <w:tmpl w:val="5978C640"/>
    <w:lvl w:ilvl="0" w:tplc="6F1D6A21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21424BE"/>
    <w:multiLevelType w:val="hybridMultilevel"/>
    <w:tmpl w:val="79263ED6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45D41D7"/>
    <w:multiLevelType w:val="hybridMultilevel"/>
    <w:tmpl w:val="0FDA5FC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9945841"/>
    <w:multiLevelType w:val="hybridMultilevel"/>
    <w:tmpl w:val="08808C2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B4A7B97"/>
    <w:multiLevelType w:val="hybridMultilevel"/>
    <w:tmpl w:val="3E4C511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BE77798"/>
    <w:multiLevelType w:val="hybridMultilevel"/>
    <w:tmpl w:val="90D025C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4F10D1"/>
    <w:multiLevelType w:val="hybridMultilevel"/>
    <w:tmpl w:val="A75013DA"/>
    <w:lvl w:ilvl="0" w:tplc="1A605C30">
      <w:start w:val="1"/>
      <w:numFmt w:val="decimal"/>
      <w:pStyle w:val="Proposal"/>
      <w:lvlText w:val="Observation %1"/>
      <w:lvlJc w:val="left"/>
      <w:pPr>
        <w:tabs>
          <w:tab w:val="num" w:pos="1304"/>
        </w:tabs>
        <w:ind w:left="1304" w:hanging="1304"/>
      </w:p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21E6BD4"/>
    <w:multiLevelType w:val="hybridMultilevel"/>
    <w:tmpl w:val="C4B29A4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11">
      <w:start w:val="1"/>
      <w:numFmt w:val="decimal"/>
      <w:lvlText w:val="%2)"/>
      <w:lvlJc w:val="left"/>
      <w:pPr>
        <w:ind w:left="840" w:hanging="420"/>
      </w:p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45F5C5A"/>
    <w:multiLevelType w:val="hybridMultilevel"/>
    <w:tmpl w:val="D3F274B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AA1633A"/>
    <w:multiLevelType w:val="multilevel"/>
    <w:tmpl w:val="3AA163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655181"/>
    <w:multiLevelType w:val="hybridMultilevel"/>
    <w:tmpl w:val="5554C910"/>
    <w:lvl w:ilvl="0" w:tplc="7F9ACEC0">
      <w:start w:val="1"/>
      <w:numFmt w:val="decimal"/>
      <w:lvlText w:val="Step %1)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28654D7"/>
    <w:multiLevelType w:val="hybridMultilevel"/>
    <w:tmpl w:val="ACC239EE"/>
    <w:lvl w:ilvl="0" w:tplc="0C103FD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67E19CC"/>
    <w:multiLevelType w:val="hybridMultilevel"/>
    <w:tmpl w:val="C362078A"/>
    <w:lvl w:ilvl="0" w:tplc="5FFE1272">
      <w:start w:val="6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94C3F53"/>
    <w:multiLevelType w:val="hybridMultilevel"/>
    <w:tmpl w:val="549A0D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B524DC"/>
    <w:multiLevelType w:val="hybridMultilevel"/>
    <w:tmpl w:val="7F2E6B64"/>
    <w:lvl w:ilvl="0" w:tplc="0C103FD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20018ED"/>
    <w:multiLevelType w:val="hybridMultilevel"/>
    <w:tmpl w:val="C6B254CE"/>
    <w:lvl w:ilvl="0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6" w15:restartNumberingAfterBreak="0">
    <w:nsid w:val="558F2983"/>
    <w:multiLevelType w:val="hybridMultilevel"/>
    <w:tmpl w:val="9C2CC920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623263B5"/>
    <w:multiLevelType w:val="multilevel"/>
    <w:tmpl w:val="623263B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802428"/>
    <w:multiLevelType w:val="hybridMultilevel"/>
    <w:tmpl w:val="97B208C2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7EB713A"/>
    <w:multiLevelType w:val="hybridMultilevel"/>
    <w:tmpl w:val="9522D9D6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2B11DE"/>
    <w:multiLevelType w:val="hybridMultilevel"/>
    <w:tmpl w:val="842037B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CCE7A35"/>
    <w:multiLevelType w:val="hybridMultilevel"/>
    <w:tmpl w:val="126AABB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2B24D6"/>
    <w:multiLevelType w:val="hybridMultilevel"/>
    <w:tmpl w:val="2EDAD9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34101A"/>
    <w:multiLevelType w:val="hybridMultilevel"/>
    <w:tmpl w:val="24F665FC"/>
    <w:lvl w:ilvl="0" w:tplc="D60AE4AA">
      <w:start w:val="1"/>
      <w:numFmt w:val="decimal"/>
      <w:lvlText w:val="[%1]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2"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  <w:lvlOverride w:ilvl="0">
      <w:startOverride w:val="1"/>
    </w:lvlOverride>
  </w:num>
  <w:num w:numId="4">
    <w:abstractNumId w:val="4"/>
  </w:num>
  <w:num w:numId="5">
    <w:abstractNumId w:val="28"/>
  </w:num>
  <w:num w:numId="6">
    <w:abstractNumId w:val="11"/>
  </w:num>
  <w:num w:numId="7">
    <w:abstractNumId w:val="12"/>
  </w:num>
  <w:num w:numId="8">
    <w:abstractNumId w:val="5"/>
  </w:num>
  <w:num w:numId="9">
    <w:abstractNumId w:val="1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25"/>
  </w:num>
  <w:num w:numId="11">
    <w:abstractNumId w:val="26"/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7"/>
  </w:num>
  <w:num w:numId="14">
    <w:abstractNumId w:val="19"/>
  </w:num>
  <w:num w:numId="15">
    <w:abstractNumId w:val="7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17"/>
  </w:num>
  <w:num w:numId="21">
    <w:abstractNumId w:val="29"/>
  </w:num>
  <w:num w:numId="22">
    <w:abstractNumId w:val="34"/>
  </w:num>
  <w:num w:numId="23">
    <w:abstractNumId w:val="16"/>
  </w:num>
  <w:num w:numId="24">
    <w:abstractNumId w:val="0"/>
  </w:num>
  <w:num w:numId="25">
    <w:abstractNumId w:val="20"/>
  </w:num>
  <w:num w:numId="26">
    <w:abstractNumId w:val="8"/>
  </w:num>
  <w:num w:numId="27">
    <w:abstractNumId w:val="33"/>
  </w:num>
  <w:num w:numId="28">
    <w:abstractNumId w:val="32"/>
  </w:num>
  <w:num w:numId="29">
    <w:abstractNumId w:val="14"/>
  </w:num>
  <w:num w:numId="30">
    <w:abstractNumId w:val="3"/>
  </w:num>
  <w:num w:numId="31">
    <w:abstractNumId w:val="31"/>
  </w:num>
  <w:num w:numId="32">
    <w:abstractNumId w:val="30"/>
  </w:num>
  <w:num w:numId="33">
    <w:abstractNumId w:val="22"/>
  </w:num>
  <w:num w:numId="34">
    <w:abstractNumId w:val="10"/>
  </w:num>
  <w:num w:numId="35">
    <w:abstractNumId w:val="13"/>
  </w:num>
  <w:num w:numId="36">
    <w:abstractNumId w:val="9"/>
  </w:num>
  <w:num w:numId="37">
    <w:abstractNumId w:val="23"/>
  </w:num>
  <w:num w:numId="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5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CF4"/>
    <w:rsid w:val="00001195"/>
    <w:rsid w:val="00003982"/>
    <w:rsid w:val="00004D31"/>
    <w:rsid w:val="0000500F"/>
    <w:rsid w:val="00006CFC"/>
    <w:rsid w:val="00007F8B"/>
    <w:rsid w:val="00012B7D"/>
    <w:rsid w:val="00013F9F"/>
    <w:rsid w:val="0002556D"/>
    <w:rsid w:val="00026549"/>
    <w:rsid w:val="00026790"/>
    <w:rsid w:val="000272C0"/>
    <w:rsid w:val="0002783C"/>
    <w:rsid w:val="000321F3"/>
    <w:rsid w:val="000325A9"/>
    <w:rsid w:val="000363CC"/>
    <w:rsid w:val="00036520"/>
    <w:rsid w:val="000369A7"/>
    <w:rsid w:val="0004047A"/>
    <w:rsid w:val="00041DB9"/>
    <w:rsid w:val="000449D8"/>
    <w:rsid w:val="00045CC4"/>
    <w:rsid w:val="00046906"/>
    <w:rsid w:val="000470D1"/>
    <w:rsid w:val="00052E72"/>
    <w:rsid w:val="00053048"/>
    <w:rsid w:val="000555E4"/>
    <w:rsid w:val="000556B6"/>
    <w:rsid w:val="0006138F"/>
    <w:rsid w:val="000701A7"/>
    <w:rsid w:val="00072099"/>
    <w:rsid w:val="00081B22"/>
    <w:rsid w:val="00091235"/>
    <w:rsid w:val="000942D7"/>
    <w:rsid w:val="000967F0"/>
    <w:rsid w:val="000A399E"/>
    <w:rsid w:val="000A4435"/>
    <w:rsid w:val="000A4594"/>
    <w:rsid w:val="000B1DB1"/>
    <w:rsid w:val="000C32ED"/>
    <w:rsid w:val="000D2989"/>
    <w:rsid w:val="000D52BD"/>
    <w:rsid w:val="000E1C56"/>
    <w:rsid w:val="000E4ACE"/>
    <w:rsid w:val="000E6361"/>
    <w:rsid w:val="000F1159"/>
    <w:rsid w:val="000F13EC"/>
    <w:rsid w:val="000F6961"/>
    <w:rsid w:val="00100DEA"/>
    <w:rsid w:val="00102130"/>
    <w:rsid w:val="00104C22"/>
    <w:rsid w:val="00104DA6"/>
    <w:rsid w:val="001057CC"/>
    <w:rsid w:val="00110A47"/>
    <w:rsid w:val="001148F9"/>
    <w:rsid w:val="0011611A"/>
    <w:rsid w:val="001216EB"/>
    <w:rsid w:val="00123340"/>
    <w:rsid w:val="0012374B"/>
    <w:rsid w:val="00124864"/>
    <w:rsid w:val="00125782"/>
    <w:rsid w:val="00126FB0"/>
    <w:rsid w:val="00132EFF"/>
    <w:rsid w:val="00133266"/>
    <w:rsid w:val="001347BB"/>
    <w:rsid w:val="00136511"/>
    <w:rsid w:val="00136A26"/>
    <w:rsid w:val="001405B1"/>
    <w:rsid w:val="0014567B"/>
    <w:rsid w:val="00146CE0"/>
    <w:rsid w:val="00150962"/>
    <w:rsid w:val="00156C66"/>
    <w:rsid w:val="0016219F"/>
    <w:rsid w:val="001629E6"/>
    <w:rsid w:val="00167D75"/>
    <w:rsid w:val="00176930"/>
    <w:rsid w:val="00180D3D"/>
    <w:rsid w:val="001826D0"/>
    <w:rsid w:val="00183E54"/>
    <w:rsid w:val="00187C44"/>
    <w:rsid w:val="00190E6E"/>
    <w:rsid w:val="00193050"/>
    <w:rsid w:val="0019776D"/>
    <w:rsid w:val="001A2425"/>
    <w:rsid w:val="001A242D"/>
    <w:rsid w:val="001B5DF8"/>
    <w:rsid w:val="001B740C"/>
    <w:rsid w:val="001C0C92"/>
    <w:rsid w:val="001C5B49"/>
    <w:rsid w:val="001D7BC5"/>
    <w:rsid w:val="001E20B1"/>
    <w:rsid w:val="001E6DA7"/>
    <w:rsid w:val="001E787D"/>
    <w:rsid w:val="001E7E8B"/>
    <w:rsid w:val="001F6BE3"/>
    <w:rsid w:val="001F7FE7"/>
    <w:rsid w:val="00204B1B"/>
    <w:rsid w:val="002057CA"/>
    <w:rsid w:val="00205C5F"/>
    <w:rsid w:val="002075D4"/>
    <w:rsid w:val="00221DB9"/>
    <w:rsid w:val="00222933"/>
    <w:rsid w:val="00223488"/>
    <w:rsid w:val="00227265"/>
    <w:rsid w:val="00227A83"/>
    <w:rsid w:val="002303CB"/>
    <w:rsid w:val="00231DE7"/>
    <w:rsid w:val="00240FF8"/>
    <w:rsid w:val="002433BB"/>
    <w:rsid w:val="00245905"/>
    <w:rsid w:val="00250756"/>
    <w:rsid w:val="00250CAA"/>
    <w:rsid w:val="0026092A"/>
    <w:rsid w:val="00262BD5"/>
    <w:rsid w:val="00264160"/>
    <w:rsid w:val="00267128"/>
    <w:rsid w:val="002674AF"/>
    <w:rsid w:val="002733FE"/>
    <w:rsid w:val="0027463C"/>
    <w:rsid w:val="002A57BC"/>
    <w:rsid w:val="002B10A7"/>
    <w:rsid w:val="002B4B5B"/>
    <w:rsid w:val="002C00EF"/>
    <w:rsid w:val="002D02AE"/>
    <w:rsid w:val="002D3D77"/>
    <w:rsid w:val="002D4C48"/>
    <w:rsid w:val="002D5539"/>
    <w:rsid w:val="002E0BD5"/>
    <w:rsid w:val="002E11E3"/>
    <w:rsid w:val="002E1C17"/>
    <w:rsid w:val="002E1D1E"/>
    <w:rsid w:val="002F0CC4"/>
    <w:rsid w:val="002F1490"/>
    <w:rsid w:val="002F1A00"/>
    <w:rsid w:val="002F58B2"/>
    <w:rsid w:val="002F5C5B"/>
    <w:rsid w:val="002F682F"/>
    <w:rsid w:val="0030119C"/>
    <w:rsid w:val="00305325"/>
    <w:rsid w:val="00305B00"/>
    <w:rsid w:val="00305E17"/>
    <w:rsid w:val="00312AD1"/>
    <w:rsid w:val="00321813"/>
    <w:rsid w:val="003239F6"/>
    <w:rsid w:val="00327184"/>
    <w:rsid w:val="00327502"/>
    <w:rsid w:val="003301A0"/>
    <w:rsid w:val="00334481"/>
    <w:rsid w:val="00334FBA"/>
    <w:rsid w:val="0033561D"/>
    <w:rsid w:val="00337844"/>
    <w:rsid w:val="00341005"/>
    <w:rsid w:val="00341F7A"/>
    <w:rsid w:val="00347FCC"/>
    <w:rsid w:val="00360BBA"/>
    <w:rsid w:val="0036214B"/>
    <w:rsid w:val="00363DA4"/>
    <w:rsid w:val="003666C4"/>
    <w:rsid w:val="003726E7"/>
    <w:rsid w:val="00372A60"/>
    <w:rsid w:val="00373BA7"/>
    <w:rsid w:val="0037579A"/>
    <w:rsid w:val="003808DE"/>
    <w:rsid w:val="00380ED0"/>
    <w:rsid w:val="00381E4A"/>
    <w:rsid w:val="003832F2"/>
    <w:rsid w:val="0038545E"/>
    <w:rsid w:val="0038604D"/>
    <w:rsid w:val="00386813"/>
    <w:rsid w:val="00386CDA"/>
    <w:rsid w:val="00387566"/>
    <w:rsid w:val="00387AC5"/>
    <w:rsid w:val="00390689"/>
    <w:rsid w:val="00391D19"/>
    <w:rsid w:val="00395A31"/>
    <w:rsid w:val="00397317"/>
    <w:rsid w:val="003A1AC7"/>
    <w:rsid w:val="003A284B"/>
    <w:rsid w:val="003B243E"/>
    <w:rsid w:val="003B4626"/>
    <w:rsid w:val="003C0902"/>
    <w:rsid w:val="003C2A89"/>
    <w:rsid w:val="003D0552"/>
    <w:rsid w:val="003D1040"/>
    <w:rsid w:val="003D1D3B"/>
    <w:rsid w:val="003D3350"/>
    <w:rsid w:val="003E3040"/>
    <w:rsid w:val="003E51A4"/>
    <w:rsid w:val="003E538B"/>
    <w:rsid w:val="003E7EDB"/>
    <w:rsid w:val="003F19BA"/>
    <w:rsid w:val="003F2ED0"/>
    <w:rsid w:val="003F36DC"/>
    <w:rsid w:val="003F3CED"/>
    <w:rsid w:val="00401397"/>
    <w:rsid w:val="00404494"/>
    <w:rsid w:val="00406DB7"/>
    <w:rsid w:val="00407047"/>
    <w:rsid w:val="004120DC"/>
    <w:rsid w:val="00415529"/>
    <w:rsid w:val="00417F94"/>
    <w:rsid w:val="00421FBF"/>
    <w:rsid w:val="00422F26"/>
    <w:rsid w:val="00431C82"/>
    <w:rsid w:val="004333C6"/>
    <w:rsid w:val="0043558C"/>
    <w:rsid w:val="00437191"/>
    <w:rsid w:val="004521D0"/>
    <w:rsid w:val="004539E2"/>
    <w:rsid w:val="004543AC"/>
    <w:rsid w:val="0046038C"/>
    <w:rsid w:val="004649FD"/>
    <w:rsid w:val="00465A03"/>
    <w:rsid w:val="00471FFC"/>
    <w:rsid w:val="00472EF1"/>
    <w:rsid w:val="0047765C"/>
    <w:rsid w:val="00482DA3"/>
    <w:rsid w:val="0048476C"/>
    <w:rsid w:val="004856A5"/>
    <w:rsid w:val="00487CA4"/>
    <w:rsid w:val="00491A39"/>
    <w:rsid w:val="0049409E"/>
    <w:rsid w:val="004A5DFC"/>
    <w:rsid w:val="004B03AD"/>
    <w:rsid w:val="004B085A"/>
    <w:rsid w:val="004C3841"/>
    <w:rsid w:val="004C3E53"/>
    <w:rsid w:val="004D1572"/>
    <w:rsid w:val="004D2483"/>
    <w:rsid w:val="004D625E"/>
    <w:rsid w:val="004D631D"/>
    <w:rsid w:val="004D6D90"/>
    <w:rsid w:val="004E00F5"/>
    <w:rsid w:val="004E18CB"/>
    <w:rsid w:val="004E2BB0"/>
    <w:rsid w:val="004E6DBA"/>
    <w:rsid w:val="004E794E"/>
    <w:rsid w:val="004F1307"/>
    <w:rsid w:val="004F2B99"/>
    <w:rsid w:val="004F3BD9"/>
    <w:rsid w:val="004F428F"/>
    <w:rsid w:val="004F6CD9"/>
    <w:rsid w:val="00500BA1"/>
    <w:rsid w:val="00501DBE"/>
    <w:rsid w:val="0050394C"/>
    <w:rsid w:val="005108F9"/>
    <w:rsid w:val="00514335"/>
    <w:rsid w:val="00515988"/>
    <w:rsid w:val="00520175"/>
    <w:rsid w:val="005205A6"/>
    <w:rsid w:val="00522942"/>
    <w:rsid w:val="0052331D"/>
    <w:rsid w:val="00524EF2"/>
    <w:rsid w:val="00527419"/>
    <w:rsid w:val="00527444"/>
    <w:rsid w:val="00532361"/>
    <w:rsid w:val="005374B9"/>
    <w:rsid w:val="0054397F"/>
    <w:rsid w:val="00545391"/>
    <w:rsid w:val="00546B2E"/>
    <w:rsid w:val="00550A82"/>
    <w:rsid w:val="00551015"/>
    <w:rsid w:val="00551598"/>
    <w:rsid w:val="00555944"/>
    <w:rsid w:val="00561A17"/>
    <w:rsid w:val="00563290"/>
    <w:rsid w:val="00571FC1"/>
    <w:rsid w:val="00573EBA"/>
    <w:rsid w:val="00577741"/>
    <w:rsid w:val="005778E2"/>
    <w:rsid w:val="00581A85"/>
    <w:rsid w:val="0058265B"/>
    <w:rsid w:val="0059298A"/>
    <w:rsid w:val="005A10D3"/>
    <w:rsid w:val="005A1259"/>
    <w:rsid w:val="005A4D34"/>
    <w:rsid w:val="005A4EA6"/>
    <w:rsid w:val="005A5BB6"/>
    <w:rsid w:val="005A6208"/>
    <w:rsid w:val="005A736F"/>
    <w:rsid w:val="005A7855"/>
    <w:rsid w:val="005B23B2"/>
    <w:rsid w:val="005B4099"/>
    <w:rsid w:val="005C553F"/>
    <w:rsid w:val="005C5CC0"/>
    <w:rsid w:val="005D3292"/>
    <w:rsid w:val="005D72AF"/>
    <w:rsid w:val="005E0393"/>
    <w:rsid w:val="005E1798"/>
    <w:rsid w:val="005E524C"/>
    <w:rsid w:val="005F0D38"/>
    <w:rsid w:val="005F46E2"/>
    <w:rsid w:val="005F6DEF"/>
    <w:rsid w:val="005F7036"/>
    <w:rsid w:val="00600768"/>
    <w:rsid w:val="00600FDD"/>
    <w:rsid w:val="006049EF"/>
    <w:rsid w:val="00610179"/>
    <w:rsid w:val="00613872"/>
    <w:rsid w:val="00615051"/>
    <w:rsid w:val="0062320B"/>
    <w:rsid w:val="0062546F"/>
    <w:rsid w:val="00625F5D"/>
    <w:rsid w:val="00630FBE"/>
    <w:rsid w:val="0063525D"/>
    <w:rsid w:val="00635680"/>
    <w:rsid w:val="00646D16"/>
    <w:rsid w:val="00647600"/>
    <w:rsid w:val="00657FD4"/>
    <w:rsid w:val="00663722"/>
    <w:rsid w:val="00670B41"/>
    <w:rsid w:val="00670FD1"/>
    <w:rsid w:val="00671F53"/>
    <w:rsid w:val="006748F1"/>
    <w:rsid w:val="0067590A"/>
    <w:rsid w:val="00680047"/>
    <w:rsid w:val="006801F9"/>
    <w:rsid w:val="00681090"/>
    <w:rsid w:val="00683963"/>
    <w:rsid w:val="006861D0"/>
    <w:rsid w:val="00687A8C"/>
    <w:rsid w:val="0069645C"/>
    <w:rsid w:val="00696B01"/>
    <w:rsid w:val="006973D0"/>
    <w:rsid w:val="006A040B"/>
    <w:rsid w:val="006B21D6"/>
    <w:rsid w:val="006B4750"/>
    <w:rsid w:val="006C2B22"/>
    <w:rsid w:val="006C2ECD"/>
    <w:rsid w:val="006C4A1B"/>
    <w:rsid w:val="006D106C"/>
    <w:rsid w:val="006D1C6D"/>
    <w:rsid w:val="006D6009"/>
    <w:rsid w:val="006D668A"/>
    <w:rsid w:val="006E38DE"/>
    <w:rsid w:val="006E4FE8"/>
    <w:rsid w:val="006E52F0"/>
    <w:rsid w:val="006F2180"/>
    <w:rsid w:val="006F7AEA"/>
    <w:rsid w:val="00701DDB"/>
    <w:rsid w:val="00706466"/>
    <w:rsid w:val="00707E18"/>
    <w:rsid w:val="00707E86"/>
    <w:rsid w:val="00710ABB"/>
    <w:rsid w:val="00716304"/>
    <w:rsid w:val="00734496"/>
    <w:rsid w:val="00734BAC"/>
    <w:rsid w:val="00735DE8"/>
    <w:rsid w:val="00747D50"/>
    <w:rsid w:val="007574CF"/>
    <w:rsid w:val="007667AF"/>
    <w:rsid w:val="007678B0"/>
    <w:rsid w:val="00780020"/>
    <w:rsid w:val="00781AC6"/>
    <w:rsid w:val="00782CF4"/>
    <w:rsid w:val="007839AF"/>
    <w:rsid w:val="00784CED"/>
    <w:rsid w:val="00785DAE"/>
    <w:rsid w:val="00793D2D"/>
    <w:rsid w:val="00794494"/>
    <w:rsid w:val="00797762"/>
    <w:rsid w:val="007A1166"/>
    <w:rsid w:val="007A5A2C"/>
    <w:rsid w:val="007B1022"/>
    <w:rsid w:val="007B3863"/>
    <w:rsid w:val="007B3B10"/>
    <w:rsid w:val="007B48C6"/>
    <w:rsid w:val="007B63D3"/>
    <w:rsid w:val="007B7F7E"/>
    <w:rsid w:val="007C0463"/>
    <w:rsid w:val="007C0935"/>
    <w:rsid w:val="007C2956"/>
    <w:rsid w:val="007C6BE5"/>
    <w:rsid w:val="007D23D2"/>
    <w:rsid w:val="007D2B22"/>
    <w:rsid w:val="007D3B66"/>
    <w:rsid w:val="007E2C1F"/>
    <w:rsid w:val="007E6C03"/>
    <w:rsid w:val="007E6C65"/>
    <w:rsid w:val="007F14DA"/>
    <w:rsid w:val="007F3FAA"/>
    <w:rsid w:val="00800E39"/>
    <w:rsid w:val="00801DF3"/>
    <w:rsid w:val="008034E5"/>
    <w:rsid w:val="00803C5D"/>
    <w:rsid w:val="008055D4"/>
    <w:rsid w:val="00805DE6"/>
    <w:rsid w:val="008079AD"/>
    <w:rsid w:val="00810FE9"/>
    <w:rsid w:val="0081264E"/>
    <w:rsid w:val="00812BDE"/>
    <w:rsid w:val="00812D6C"/>
    <w:rsid w:val="00820293"/>
    <w:rsid w:val="008231E6"/>
    <w:rsid w:val="008256CA"/>
    <w:rsid w:val="00825C4E"/>
    <w:rsid w:val="00826B89"/>
    <w:rsid w:val="00831165"/>
    <w:rsid w:val="0083146E"/>
    <w:rsid w:val="008329BC"/>
    <w:rsid w:val="0083419A"/>
    <w:rsid w:val="00834D3A"/>
    <w:rsid w:val="00842F90"/>
    <w:rsid w:val="0084589B"/>
    <w:rsid w:val="00847A34"/>
    <w:rsid w:val="0085073B"/>
    <w:rsid w:val="008512E1"/>
    <w:rsid w:val="00851F9A"/>
    <w:rsid w:val="00856920"/>
    <w:rsid w:val="00866C34"/>
    <w:rsid w:val="00866E3E"/>
    <w:rsid w:val="00874B84"/>
    <w:rsid w:val="008967E4"/>
    <w:rsid w:val="008968C9"/>
    <w:rsid w:val="00896954"/>
    <w:rsid w:val="00896DD5"/>
    <w:rsid w:val="008A0034"/>
    <w:rsid w:val="008A56EA"/>
    <w:rsid w:val="008B5E21"/>
    <w:rsid w:val="008C1349"/>
    <w:rsid w:val="008D5BB6"/>
    <w:rsid w:val="008E05CC"/>
    <w:rsid w:val="008E0FB7"/>
    <w:rsid w:val="008E699D"/>
    <w:rsid w:val="008F2AFC"/>
    <w:rsid w:val="008F2FBC"/>
    <w:rsid w:val="008F4347"/>
    <w:rsid w:val="008F4D90"/>
    <w:rsid w:val="008F646F"/>
    <w:rsid w:val="0090161D"/>
    <w:rsid w:val="00907C08"/>
    <w:rsid w:val="00910AB1"/>
    <w:rsid w:val="00912EBE"/>
    <w:rsid w:val="0091384B"/>
    <w:rsid w:val="00916B7A"/>
    <w:rsid w:val="00920DFA"/>
    <w:rsid w:val="009213AC"/>
    <w:rsid w:val="0092307B"/>
    <w:rsid w:val="009233A9"/>
    <w:rsid w:val="00931B41"/>
    <w:rsid w:val="0093220F"/>
    <w:rsid w:val="00935886"/>
    <w:rsid w:val="0093626A"/>
    <w:rsid w:val="00936953"/>
    <w:rsid w:val="00940994"/>
    <w:rsid w:val="009409FF"/>
    <w:rsid w:val="00940FBD"/>
    <w:rsid w:val="009415EF"/>
    <w:rsid w:val="00941F4D"/>
    <w:rsid w:val="00944A15"/>
    <w:rsid w:val="00944FA3"/>
    <w:rsid w:val="00945737"/>
    <w:rsid w:val="00946A13"/>
    <w:rsid w:val="00962177"/>
    <w:rsid w:val="00962843"/>
    <w:rsid w:val="00966634"/>
    <w:rsid w:val="00967E21"/>
    <w:rsid w:val="00970181"/>
    <w:rsid w:val="009707DE"/>
    <w:rsid w:val="009726FF"/>
    <w:rsid w:val="00973912"/>
    <w:rsid w:val="00974098"/>
    <w:rsid w:val="009839B5"/>
    <w:rsid w:val="0098462D"/>
    <w:rsid w:val="00986196"/>
    <w:rsid w:val="00987D51"/>
    <w:rsid w:val="00996E70"/>
    <w:rsid w:val="009A1FF5"/>
    <w:rsid w:val="009A3782"/>
    <w:rsid w:val="009A46E0"/>
    <w:rsid w:val="009A50E6"/>
    <w:rsid w:val="009A570E"/>
    <w:rsid w:val="009A704A"/>
    <w:rsid w:val="009C06C6"/>
    <w:rsid w:val="009C1A4A"/>
    <w:rsid w:val="009C52A4"/>
    <w:rsid w:val="009C7078"/>
    <w:rsid w:val="009C70D2"/>
    <w:rsid w:val="009D15E5"/>
    <w:rsid w:val="009D32AC"/>
    <w:rsid w:val="009D508A"/>
    <w:rsid w:val="009D78FC"/>
    <w:rsid w:val="009E0F69"/>
    <w:rsid w:val="009E1D0C"/>
    <w:rsid w:val="009E45D0"/>
    <w:rsid w:val="009F4A6F"/>
    <w:rsid w:val="009F7831"/>
    <w:rsid w:val="00A0364F"/>
    <w:rsid w:val="00A03AB4"/>
    <w:rsid w:val="00A05FD8"/>
    <w:rsid w:val="00A07287"/>
    <w:rsid w:val="00A07723"/>
    <w:rsid w:val="00A07729"/>
    <w:rsid w:val="00A12AB4"/>
    <w:rsid w:val="00A15C7B"/>
    <w:rsid w:val="00A16903"/>
    <w:rsid w:val="00A216EE"/>
    <w:rsid w:val="00A2513D"/>
    <w:rsid w:val="00A32CE2"/>
    <w:rsid w:val="00A37367"/>
    <w:rsid w:val="00A413CF"/>
    <w:rsid w:val="00A41E69"/>
    <w:rsid w:val="00A4322F"/>
    <w:rsid w:val="00A4645E"/>
    <w:rsid w:val="00A46611"/>
    <w:rsid w:val="00A54388"/>
    <w:rsid w:val="00A5535A"/>
    <w:rsid w:val="00A57DD9"/>
    <w:rsid w:val="00A613CC"/>
    <w:rsid w:val="00A62D74"/>
    <w:rsid w:val="00A630DD"/>
    <w:rsid w:val="00A71622"/>
    <w:rsid w:val="00A72B67"/>
    <w:rsid w:val="00A73620"/>
    <w:rsid w:val="00A752AB"/>
    <w:rsid w:val="00A76B0B"/>
    <w:rsid w:val="00A80BC0"/>
    <w:rsid w:val="00A840F2"/>
    <w:rsid w:val="00A87719"/>
    <w:rsid w:val="00A91B8B"/>
    <w:rsid w:val="00A936EB"/>
    <w:rsid w:val="00A94670"/>
    <w:rsid w:val="00A95507"/>
    <w:rsid w:val="00AA6417"/>
    <w:rsid w:val="00AB3A2A"/>
    <w:rsid w:val="00AB41C8"/>
    <w:rsid w:val="00AB4810"/>
    <w:rsid w:val="00AB5712"/>
    <w:rsid w:val="00AB64C0"/>
    <w:rsid w:val="00AB650C"/>
    <w:rsid w:val="00AB7153"/>
    <w:rsid w:val="00AB7432"/>
    <w:rsid w:val="00AC348B"/>
    <w:rsid w:val="00AC3E2E"/>
    <w:rsid w:val="00AC42D2"/>
    <w:rsid w:val="00AC5455"/>
    <w:rsid w:val="00AD2838"/>
    <w:rsid w:val="00AD5977"/>
    <w:rsid w:val="00AD6F54"/>
    <w:rsid w:val="00AD73DE"/>
    <w:rsid w:val="00AE5312"/>
    <w:rsid w:val="00AF0014"/>
    <w:rsid w:val="00AF70CD"/>
    <w:rsid w:val="00AF7489"/>
    <w:rsid w:val="00B00B9D"/>
    <w:rsid w:val="00B02B25"/>
    <w:rsid w:val="00B11EE1"/>
    <w:rsid w:val="00B12FA0"/>
    <w:rsid w:val="00B13DBC"/>
    <w:rsid w:val="00B27071"/>
    <w:rsid w:val="00B3121B"/>
    <w:rsid w:val="00B31BEE"/>
    <w:rsid w:val="00B35F43"/>
    <w:rsid w:val="00B36674"/>
    <w:rsid w:val="00B37894"/>
    <w:rsid w:val="00B37DC3"/>
    <w:rsid w:val="00B4107A"/>
    <w:rsid w:val="00B4194B"/>
    <w:rsid w:val="00B432C3"/>
    <w:rsid w:val="00B4486B"/>
    <w:rsid w:val="00B4603A"/>
    <w:rsid w:val="00B479BC"/>
    <w:rsid w:val="00B47D29"/>
    <w:rsid w:val="00B47FDC"/>
    <w:rsid w:val="00B63E6A"/>
    <w:rsid w:val="00B65C24"/>
    <w:rsid w:val="00B6716B"/>
    <w:rsid w:val="00B6731A"/>
    <w:rsid w:val="00B71A1B"/>
    <w:rsid w:val="00B8130A"/>
    <w:rsid w:val="00B82BBC"/>
    <w:rsid w:val="00B840F9"/>
    <w:rsid w:val="00B904A6"/>
    <w:rsid w:val="00B917FC"/>
    <w:rsid w:val="00B943A6"/>
    <w:rsid w:val="00B95576"/>
    <w:rsid w:val="00B9584B"/>
    <w:rsid w:val="00BA0422"/>
    <w:rsid w:val="00BA201C"/>
    <w:rsid w:val="00BA4873"/>
    <w:rsid w:val="00BA7EC9"/>
    <w:rsid w:val="00BB135C"/>
    <w:rsid w:val="00BB179A"/>
    <w:rsid w:val="00BB60FE"/>
    <w:rsid w:val="00BC3527"/>
    <w:rsid w:val="00BC3A85"/>
    <w:rsid w:val="00BC539B"/>
    <w:rsid w:val="00BC64BC"/>
    <w:rsid w:val="00BD77CF"/>
    <w:rsid w:val="00BE1BC6"/>
    <w:rsid w:val="00BE29D9"/>
    <w:rsid w:val="00BE3B0F"/>
    <w:rsid w:val="00BE3CEB"/>
    <w:rsid w:val="00BE5E1F"/>
    <w:rsid w:val="00BE6717"/>
    <w:rsid w:val="00BF14D7"/>
    <w:rsid w:val="00BF55F0"/>
    <w:rsid w:val="00C05A7C"/>
    <w:rsid w:val="00C1037F"/>
    <w:rsid w:val="00C1376C"/>
    <w:rsid w:val="00C13E35"/>
    <w:rsid w:val="00C15F2C"/>
    <w:rsid w:val="00C164E9"/>
    <w:rsid w:val="00C173EB"/>
    <w:rsid w:val="00C21075"/>
    <w:rsid w:val="00C249A3"/>
    <w:rsid w:val="00C24A79"/>
    <w:rsid w:val="00C24DAA"/>
    <w:rsid w:val="00C26115"/>
    <w:rsid w:val="00C26801"/>
    <w:rsid w:val="00C33CB2"/>
    <w:rsid w:val="00C358BB"/>
    <w:rsid w:val="00C405F3"/>
    <w:rsid w:val="00C421F3"/>
    <w:rsid w:val="00C4649F"/>
    <w:rsid w:val="00C47F3A"/>
    <w:rsid w:val="00C50248"/>
    <w:rsid w:val="00C527CD"/>
    <w:rsid w:val="00C54F7C"/>
    <w:rsid w:val="00C57BAE"/>
    <w:rsid w:val="00C639B7"/>
    <w:rsid w:val="00C64091"/>
    <w:rsid w:val="00C66B7D"/>
    <w:rsid w:val="00C66B84"/>
    <w:rsid w:val="00C66FA0"/>
    <w:rsid w:val="00C7564A"/>
    <w:rsid w:val="00C85ABC"/>
    <w:rsid w:val="00C91E56"/>
    <w:rsid w:val="00CA32D6"/>
    <w:rsid w:val="00CA3683"/>
    <w:rsid w:val="00CA6B19"/>
    <w:rsid w:val="00CB39DE"/>
    <w:rsid w:val="00CB4792"/>
    <w:rsid w:val="00CC4576"/>
    <w:rsid w:val="00CC6B63"/>
    <w:rsid w:val="00CD65A0"/>
    <w:rsid w:val="00CD709D"/>
    <w:rsid w:val="00CE1831"/>
    <w:rsid w:val="00CE1B14"/>
    <w:rsid w:val="00CE3AEA"/>
    <w:rsid w:val="00CE3BE5"/>
    <w:rsid w:val="00CF2EBE"/>
    <w:rsid w:val="00CF3A37"/>
    <w:rsid w:val="00CF47B6"/>
    <w:rsid w:val="00D007AC"/>
    <w:rsid w:val="00D0226F"/>
    <w:rsid w:val="00D02F6D"/>
    <w:rsid w:val="00D12194"/>
    <w:rsid w:val="00D1386B"/>
    <w:rsid w:val="00D13B30"/>
    <w:rsid w:val="00D167AE"/>
    <w:rsid w:val="00D260A3"/>
    <w:rsid w:val="00D30064"/>
    <w:rsid w:val="00D30B85"/>
    <w:rsid w:val="00D341CA"/>
    <w:rsid w:val="00D36A83"/>
    <w:rsid w:val="00D40517"/>
    <w:rsid w:val="00D442A0"/>
    <w:rsid w:val="00D45916"/>
    <w:rsid w:val="00D5066D"/>
    <w:rsid w:val="00D55FAC"/>
    <w:rsid w:val="00D57DFA"/>
    <w:rsid w:val="00D63608"/>
    <w:rsid w:val="00D650B6"/>
    <w:rsid w:val="00D660EC"/>
    <w:rsid w:val="00D704B5"/>
    <w:rsid w:val="00D70B37"/>
    <w:rsid w:val="00D7464B"/>
    <w:rsid w:val="00D774E8"/>
    <w:rsid w:val="00D801E6"/>
    <w:rsid w:val="00D8085E"/>
    <w:rsid w:val="00D80870"/>
    <w:rsid w:val="00D91629"/>
    <w:rsid w:val="00D9287F"/>
    <w:rsid w:val="00D95EF6"/>
    <w:rsid w:val="00D9779E"/>
    <w:rsid w:val="00D97835"/>
    <w:rsid w:val="00DA0D9B"/>
    <w:rsid w:val="00DA273A"/>
    <w:rsid w:val="00DA3126"/>
    <w:rsid w:val="00DA3E64"/>
    <w:rsid w:val="00DA4E49"/>
    <w:rsid w:val="00DB2406"/>
    <w:rsid w:val="00DB5829"/>
    <w:rsid w:val="00DC0CF2"/>
    <w:rsid w:val="00DC504A"/>
    <w:rsid w:val="00DD1ABC"/>
    <w:rsid w:val="00DD75DB"/>
    <w:rsid w:val="00DE05B8"/>
    <w:rsid w:val="00DE3A92"/>
    <w:rsid w:val="00DE4971"/>
    <w:rsid w:val="00DE5DC5"/>
    <w:rsid w:val="00DF0045"/>
    <w:rsid w:val="00DF1EDB"/>
    <w:rsid w:val="00DF5F06"/>
    <w:rsid w:val="00E01C8C"/>
    <w:rsid w:val="00E01EDB"/>
    <w:rsid w:val="00E05301"/>
    <w:rsid w:val="00E0763F"/>
    <w:rsid w:val="00E20730"/>
    <w:rsid w:val="00E215CB"/>
    <w:rsid w:val="00E21867"/>
    <w:rsid w:val="00E231ED"/>
    <w:rsid w:val="00E23480"/>
    <w:rsid w:val="00E244F1"/>
    <w:rsid w:val="00E24C48"/>
    <w:rsid w:val="00E25E5C"/>
    <w:rsid w:val="00E41631"/>
    <w:rsid w:val="00E45D3C"/>
    <w:rsid w:val="00E54AB5"/>
    <w:rsid w:val="00E630D0"/>
    <w:rsid w:val="00E66060"/>
    <w:rsid w:val="00E674AB"/>
    <w:rsid w:val="00E753EA"/>
    <w:rsid w:val="00E8002A"/>
    <w:rsid w:val="00E80ED7"/>
    <w:rsid w:val="00E8529A"/>
    <w:rsid w:val="00E871BA"/>
    <w:rsid w:val="00E9485D"/>
    <w:rsid w:val="00E97E6C"/>
    <w:rsid w:val="00EA1E0E"/>
    <w:rsid w:val="00EA668B"/>
    <w:rsid w:val="00EB0333"/>
    <w:rsid w:val="00EB0ECA"/>
    <w:rsid w:val="00EB20CF"/>
    <w:rsid w:val="00EB22C8"/>
    <w:rsid w:val="00EC1267"/>
    <w:rsid w:val="00EC4AE1"/>
    <w:rsid w:val="00EC6E1A"/>
    <w:rsid w:val="00ED0427"/>
    <w:rsid w:val="00ED0BEA"/>
    <w:rsid w:val="00ED2E37"/>
    <w:rsid w:val="00ED397C"/>
    <w:rsid w:val="00ED471B"/>
    <w:rsid w:val="00ED6540"/>
    <w:rsid w:val="00EE0C55"/>
    <w:rsid w:val="00EE1139"/>
    <w:rsid w:val="00EE1CE3"/>
    <w:rsid w:val="00EE32E9"/>
    <w:rsid w:val="00EE3CBD"/>
    <w:rsid w:val="00EE5C4E"/>
    <w:rsid w:val="00EF3B2C"/>
    <w:rsid w:val="00EF4104"/>
    <w:rsid w:val="00EF7303"/>
    <w:rsid w:val="00EF7EA0"/>
    <w:rsid w:val="00F01192"/>
    <w:rsid w:val="00F03332"/>
    <w:rsid w:val="00F034C4"/>
    <w:rsid w:val="00F075E1"/>
    <w:rsid w:val="00F077AB"/>
    <w:rsid w:val="00F130F0"/>
    <w:rsid w:val="00F20045"/>
    <w:rsid w:val="00F22EF5"/>
    <w:rsid w:val="00F23B21"/>
    <w:rsid w:val="00F24B76"/>
    <w:rsid w:val="00F2555A"/>
    <w:rsid w:val="00F25F20"/>
    <w:rsid w:val="00F26D0B"/>
    <w:rsid w:val="00F323DC"/>
    <w:rsid w:val="00F4025C"/>
    <w:rsid w:val="00F4212F"/>
    <w:rsid w:val="00F436BC"/>
    <w:rsid w:val="00F54C4D"/>
    <w:rsid w:val="00F564F4"/>
    <w:rsid w:val="00F5771C"/>
    <w:rsid w:val="00F67D6C"/>
    <w:rsid w:val="00F71555"/>
    <w:rsid w:val="00F76553"/>
    <w:rsid w:val="00F779B1"/>
    <w:rsid w:val="00F821DB"/>
    <w:rsid w:val="00F8522E"/>
    <w:rsid w:val="00F90848"/>
    <w:rsid w:val="00F94A5F"/>
    <w:rsid w:val="00F969A0"/>
    <w:rsid w:val="00F9750C"/>
    <w:rsid w:val="00FA7122"/>
    <w:rsid w:val="00FA74FB"/>
    <w:rsid w:val="00FB2ACE"/>
    <w:rsid w:val="00FB38EF"/>
    <w:rsid w:val="00FB47A0"/>
    <w:rsid w:val="00FB5018"/>
    <w:rsid w:val="00FB6678"/>
    <w:rsid w:val="00FC3A54"/>
    <w:rsid w:val="00FD1F30"/>
    <w:rsid w:val="00FD5D2D"/>
    <w:rsid w:val="00FD6260"/>
    <w:rsid w:val="00FE2779"/>
    <w:rsid w:val="00FE297C"/>
    <w:rsid w:val="00FE503B"/>
    <w:rsid w:val="00FE779D"/>
    <w:rsid w:val="00FF0618"/>
    <w:rsid w:val="00FF49F8"/>
    <w:rsid w:val="00FF559E"/>
    <w:rsid w:val="00FF6F24"/>
    <w:rsid w:val="00FF7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DDCB9B"/>
  <w15:chartTrackingRefBased/>
  <w15:docId w15:val="{89FF66D3-EBB4-4908-AEC2-9FEC59017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428F"/>
    <w:pPr>
      <w:overflowPunct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="宋体" w:hAnsi="Times New Roman" w:cs="Times New Roman"/>
      <w:sz w:val="20"/>
      <w:szCs w:val="20"/>
      <w:lang w:val="en-GB" w:eastAsia="zh-CN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a"/>
    <w:link w:val="1Char"/>
    <w:qFormat/>
    <w:rsid w:val="00B11EE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36"/>
      <w:lang w:val="en-GB" w:eastAsia="zh-CN"/>
    </w:rPr>
  </w:style>
  <w:style w:type="paragraph" w:styleId="2">
    <w:name w:val="heading 2"/>
    <w:aliases w:val="H2,h2,DO NOT USE_h2,h21,Heading 2 3GPP,Head2A,2,UNDERRUBRIK 1-2"/>
    <w:basedOn w:val="1"/>
    <w:next w:val="a"/>
    <w:link w:val="2Char"/>
    <w:unhideWhenUsed/>
    <w:qFormat/>
    <w:rsid w:val="00B11EE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B11EE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3"/>
    <w:next w:val="a"/>
    <w:link w:val="4Char"/>
    <w:semiHidden/>
    <w:unhideWhenUsed/>
    <w:qFormat/>
    <w:rsid w:val="00B11EE1"/>
    <w:pPr>
      <w:numPr>
        <w:ilvl w:val="3"/>
        <w:numId w:val="1"/>
      </w:numPr>
      <w:spacing w:before="120" w:after="180"/>
      <w:jc w:val="left"/>
      <w:outlineLvl w:val="3"/>
    </w:pPr>
    <w:rPr>
      <w:rFonts w:ascii="Arial" w:eastAsia="Times New Roman" w:hAnsi="Arial" w:cs="Times New Roman"/>
      <w:color w:val="auto"/>
    </w:rPr>
  </w:style>
  <w:style w:type="paragraph" w:styleId="5">
    <w:name w:val="heading 5"/>
    <w:aliases w:val="h5,Heading5"/>
    <w:basedOn w:val="4"/>
    <w:next w:val="a"/>
    <w:link w:val="5Char"/>
    <w:semiHidden/>
    <w:unhideWhenUsed/>
    <w:qFormat/>
    <w:rsid w:val="00B11EE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semiHidden/>
    <w:unhideWhenUsed/>
    <w:qFormat/>
    <w:rsid w:val="00B11EE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semiHidden/>
    <w:unhideWhenUsed/>
    <w:qFormat/>
    <w:rsid w:val="00B11EE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semiHidden/>
    <w:unhideWhenUsed/>
    <w:qFormat/>
    <w:rsid w:val="00B11EE1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semiHidden/>
    <w:unhideWhenUsed/>
    <w:qFormat/>
    <w:rsid w:val="00B11EE1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B11EE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eastAsia="zh-CN"/>
    </w:rPr>
  </w:style>
  <w:style w:type="character" w:customStyle="1" w:styleId="2Char">
    <w:name w:val="标题 2 Char"/>
    <w:aliases w:val="H2 Char,h2 Char,DO NOT USE_h2 Char,h21 Char,Heading 2 3GPP Char,Head2A Char,2 Char,UNDERRUBRIK 1-2 Char"/>
    <w:basedOn w:val="a0"/>
    <w:link w:val="2"/>
    <w:rsid w:val="00B11EE1"/>
    <w:rPr>
      <w:rFonts w:ascii="Arial" w:eastAsia="Times New Roman" w:hAnsi="Arial" w:cs="Times New Roman"/>
      <w:sz w:val="32"/>
      <w:szCs w:val="32"/>
      <w:lang w:val="en-GB" w:eastAsia="zh-CN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semiHidden/>
    <w:rsid w:val="00B11EE1"/>
    <w:rPr>
      <w:rFonts w:ascii="Arial" w:eastAsia="Times New Roman" w:hAnsi="Arial" w:cs="Times New Roman"/>
      <w:sz w:val="24"/>
      <w:szCs w:val="24"/>
      <w:lang w:val="en-GB" w:eastAsia="zh-CN"/>
    </w:rPr>
  </w:style>
  <w:style w:type="character" w:customStyle="1" w:styleId="5Char">
    <w:name w:val="标题 5 Char"/>
    <w:aliases w:val="h5 Char,Heading5 Char"/>
    <w:basedOn w:val="a0"/>
    <w:link w:val="5"/>
    <w:semiHidden/>
    <w:rsid w:val="00B11EE1"/>
    <w:rPr>
      <w:rFonts w:ascii="Arial" w:eastAsia="Times New Roman" w:hAnsi="Arial" w:cs="Times New Roman"/>
      <w:lang w:val="en-GB" w:eastAsia="zh-CN"/>
    </w:rPr>
  </w:style>
  <w:style w:type="character" w:customStyle="1" w:styleId="6Char">
    <w:name w:val="标题 6 Char"/>
    <w:basedOn w:val="a0"/>
    <w:link w:val="6"/>
    <w:semiHidden/>
    <w:rsid w:val="00B11EE1"/>
    <w:rPr>
      <w:rFonts w:ascii="Arial" w:eastAsia="宋体" w:hAnsi="Arial" w:cs="Arial"/>
      <w:sz w:val="20"/>
      <w:szCs w:val="20"/>
      <w:lang w:val="en-US" w:eastAsia="zh-CN"/>
    </w:rPr>
  </w:style>
  <w:style w:type="character" w:customStyle="1" w:styleId="7Char">
    <w:name w:val="标题 7 Char"/>
    <w:basedOn w:val="a0"/>
    <w:link w:val="7"/>
    <w:semiHidden/>
    <w:rsid w:val="00B11EE1"/>
    <w:rPr>
      <w:rFonts w:ascii="Arial" w:eastAsia="宋体" w:hAnsi="Arial" w:cs="Arial"/>
      <w:sz w:val="20"/>
      <w:szCs w:val="20"/>
      <w:lang w:val="en-US" w:eastAsia="zh-CN"/>
    </w:rPr>
  </w:style>
  <w:style w:type="character" w:customStyle="1" w:styleId="8Char">
    <w:name w:val="标题 8 Char"/>
    <w:basedOn w:val="a0"/>
    <w:link w:val="8"/>
    <w:semiHidden/>
    <w:rsid w:val="00B11EE1"/>
    <w:rPr>
      <w:rFonts w:ascii="Arial" w:eastAsia="宋体" w:hAnsi="Arial" w:cs="Arial"/>
      <w:sz w:val="20"/>
      <w:szCs w:val="20"/>
      <w:lang w:val="en-US" w:eastAsia="zh-CN"/>
    </w:rPr>
  </w:style>
  <w:style w:type="character" w:customStyle="1" w:styleId="9Char">
    <w:name w:val="标题 9 Char"/>
    <w:basedOn w:val="a0"/>
    <w:link w:val="9"/>
    <w:semiHidden/>
    <w:rsid w:val="00B11EE1"/>
    <w:rPr>
      <w:rFonts w:ascii="Arial" w:eastAsia="宋体" w:hAnsi="Arial" w:cs="Arial"/>
      <w:sz w:val="20"/>
      <w:szCs w:val="20"/>
      <w:lang w:val="en-US" w:eastAsia="zh-CN"/>
    </w:rPr>
  </w:style>
  <w:style w:type="character" w:customStyle="1" w:styleId="1Char">
    <w:name w:val="标题 1 Char"/>
    <w:aliases w:val="H1 Char,h1 Char,Heading 1 3GPP Char,Memo Heading 1 Char,NMP Heading 1 Char,app heading 1 Char,l1 Char,h11 Char,h12 Char,h13 Char,h14 Char,h15 Char,h16 Char,h17 Char,h111 Char,h121 Char,h131 Char,h141 Char,h151 Char,h161 Char,h18 Char,h112 Char"/>
    <w:link w:val="1"/>
    <w:locked/>
    <w:rsid w:val="00B11EE1"/>
    <w:rPr>
      <w:rFonts w:ascii="Arial" w:eastAsia="Times New Roman" w:hAnsi="Arial" w:cs="Times New Roman"/>
      <w:sz w:val="36"/>
      <w:szCs w:val="36"/>
      <w:lang w:val="en-GB" w:eastAsia="zh-CN"/>
    </w:rPr>
  </w:style>
  <w:style w:type="paragraph" w:styleId="a3">
    <w:name w:val="Body Text"/>
    <w:basedOn w:val="a"/>
    <w:link w:val="Char"/>
    <w:unhideWhenUsed/>
    <w:rsid w:val="00B11EE1"/>
    <w:rPr>
      <w:rFonts w:eastAsia="Malgun Gothic"/>
    </w:rPr>
  </w:style>
  <w:style w:type="character" w:customStyle="1" w:styleId="Char">
    <w:name w:val="正文文本 Char"/>
    <w:basedOn w:val="a0"/>
    <w:link w:val="a3"/>
    <w:rsid w:val="00B11EE1"/>
    <w:rPr>
      <w:rFonts w:ascii="Arial" w:eastAsia="Malgun Gothic" w:hAnsi="Arial" w:cs="Times New Roman"/>
      <w:sz w:val="20"/>
      <w:szCs w:val="20"/>
      <w:lang w:val="en-GB" w:eastAsia="zh-CN"/>
    </w:rPr>
  </w:style>
  <w:style w:type="character" w:customStyle="1" w:styleId="Char0">
    <w:name w:val="列出段落 Char"/>
    <w:aliases w:val="- Bullets Char,목록 단락 Char,?? ?? Char,????? Char,???? Char,Lista1 Char,中等深浅网格 1 - 着色 21 Char,リスト段落 Char,¥¡¡¡¡ì¬º¥¹¥È¶ÎÂä Char,ÁÐ³ö¶ÎÂä Char,列出段落1 Char,列表段落1 Char,—ño’i—Ž Char,¥ê¥¹¥È¶ÎÂä Char,1st level - Bullet List Paragraph Char,목록단락 Char"/>
    <w:link w:val="a4"/>
    <w:uiPriority w:val="34"/>
    <w:qFormat/>
    <w:locked/>
    <w:rsid w:val="00B11EE1"/>
    <w:rPr>
      <w:rFonts w:ascii="Calibri" w:eastAsia="宋体" w:hAnsi="Calibri" w:cs="Calibri"/>
      <w:lang w:val="x-none" w:eastAsia="x-none"/>
    </w:rPr>
  </w:style>
  <w:style w:type="paragraph" w:styleId="a4">
    <w:name w:val="List Paragraph"/>
    <w:aliases w:val="- Bullets,목록 단락,?? ??,?????,????,Lista1,中等深浅网格 1 - 着色 21,リスト段落,¥¡¡¡¡ì¬º¥¹¥È¶ÎÂä,ÁÐ³ö¶ÎÂä,列出段落1,列表段落1,—ño’i—Ž,¥ê¥¹¥È¶ÎÂä,1st level - Bullet List Paragraph,Lettre d'introduction,Paragrafo elenco,Normal bullet 2,Bullet list,목록단락,列表段落11,列"/>
    <w:basedOn w:val="a"/>
    <w:link w:val="Char0"/>
    <w:uiPriority w:val="34"/>
    <w:qFormat/>
    <w:rsid w:val="00B11EE1"/>
    <w:pPr>
      <w:overflowPunct/>
      <w:autoSpaceDE/>
      <w:autoSpaceDN/>
      <w:adjustRightInd/>
      <w:spacing w:after="0"/>
      <w:ind w:left="720"/>
      <w:jc w:val="left"/>
    </w:pPr>
    <w:rPr>
      <w:rFonts w:ascii="Calibri" w:hAnsi="Calibri" w:cs="Calibri"/>
      <w:sz w:val="22"/>
      <w:szCs w:val="22"/>
      <w:lang w:val="x-none" w:eastAsia="x-none"/>
    </w:rPr>
  </w:style>
  <w:style w:type="paragraph" w:customStyle="1" w:styleId="3GPPHeader">
    <w:name w:val="3GPP_Header"/>
    <w:basedOn w:val="a"/>
    <w:rsid w:val="00B11EE1"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ProposalChar">
    <w:name w:val="Proposal Char"/>
    <w:link w:val="Proposal"/>
    <w:locked/>
    <w:rsid w:val="00B11EE1"/>
    <w:rPr>
      <w:rFonts w:ascii="Arial" w:hAnsi="Arial"/>
      <w:b/>
      <w:bCs/>
      <w:lang w:val="x-none" w:eastAsia="x-none"/>
    </w:rPr>
  </w:style>
  <w:style w:type="paragraph" w:customStyle="1" w:styleId="Proposal">
    <w:name w:val="Proposal"/>
    <w:basedOn w:val="a"/>
    <w:link w:val="ProposalChar"/>
    <w:qFormat/>
    <w:rsid w:val="00B11EE1"/>
    <w:pPr>
      <w:numPr>
        <w:numId w:val="2"/>
      </w:numPr>
    </w:pPr>
    <w:rPr>
      <w:rFonts w:eastAsiaTheme="minorHAnsi" w:cstheme="minorBidi"/>
      <w:b/>
      <w:bCs/>
      <w:sz w:val="22"/>
      <w:szCs w:val="22"/>
      <w:lang w:val="x-none" w:eastAsia="x-none"/>
    </w:rPr>
  </w:style>
  <w:style w:type="character" w:customStyle="1" w:styleId="PLChar">
    <w:name w:val="PL Char"/>
    <w:link w:val="PL"/>
    <w:qFormat/>
    <w:locked/>
    <w:rsid w:val="00B11EE1"/>
    <w:rPr>
      <w:rFonts w:ascii="Courier New" w:hAnsi="Courier New" w:cs="Courier New"/>
      <w:noProof/>
      <w:sz w:val="16"/>
      <w:szCs w:val="16"/>
      <w:lang w:val="en-GB" w:eastAsia="ja-JP"/>
    </w:rPr>
  </w:style>
  <w:style w:type="paragraph" w:customStyle="1" w:styleId="PL">
    <w:name w:val="PL"/>
    <w:link w:val="PLChar"/>
    <w:qFormat/>
    <w:rsid w:val="00B11E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noProof/>
      <w:sz w:val="16"/>
      <w:szCs w:val="16"/>
      <w:lang w:val="en-GB" w:eastAsia="ja-JP"/>
    </w:rPr>
  </w:style>
  <w:style w:type="character" w:customStyle="1" w:styleId="CRCoverPageZchn">
    <w:name w:val="CR Cover Page Zchn"/>
    <w:link w:val="CRCoverPage"/>
    <w:locked/>
    <w:rsid w:val="00B11EE1"/>
    <w:rPr>
      <w:rFonts w:ascii="Arial" w:eastAsia="MS Mincho" w:hAnsi="Arial" w:cs="Arial"/>
      <w:lang w:val="en-GB"/>
    </w:rPr>
  </w:style>
  <w:style w:type="paragraph" w:customStyle="1" w:styleId="CRCoverPage">
    <w:name w:val="CR Cover Page"/>
    <w:link w:val="CRCoverPageZchn"/>
    <w:rsid w:val="00B11EE1"/>
    <w:pPr>
      <w:spacing w:after="120" w:line="240" w:lineRule="auto"/>
    </w:pPr>
    <w:rPr>
      <w:rFonts w:ascii="Arial" w:eastAsia="MS Mincho" w:hAnsi="Arial" w:cs="Arial"/>
      <w:lang w:val="en-GB"/>
    </w:rPr>
  </w:style>
  <w:style w:type="paragraph" w:customStyle="1" w:styleId="References">
    <w:name w:val="References"/>
    <w:basedOn w:val="a"/>
    <w:rsid w:val="00B11EE1"/>
    <w:pPr>
      <w:numPr>
        <w:numId w:val="3"/>
      </w:numPr>
      <w:overflowPunct/>
      <w:adjustRightInd/>
      <w:snapToGrid w:val="0"/>
      <w:spacing w:after="60"/>
    </w:pPr>
    <w:rPr>
      <w:szCs w:val="16"/>
      <w:lang w:eastAsia="en-US"/>
    </w:rPr>
  </w:style>
  <w:style w:type="table" w:styleId="a5">
    <w:name w:val="Table Grid"/>
    <w:basedOn w:val="a1"/>
    <w:rsid w:val="00B11EE1"/>
    <w:pPr>
      <w:spacing w:after="0" w:line="240" w:lineRule="auto"/>
    </w:pPr>
    <w:rPr>
      <w:rFonts w:ascii="CG Times (WN)" w:eastAsia="Malgun Gothic" w:hAnsi="CG Times (WN)" w:cs="Times New Roman"/>
      <w:sz w:val="20"/>
      <w:szCs w:val="20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网格型1"/>
    <w:basedOn w:val="a1"/>
    <w:uiPriority w:val="39"/>
    <w:qFormat/>
    <w:rsid w:val="00B11EE1"/>
    <w:pPr>
      <w:spacing w:after="0" w:line="240" w:lineRule="auto"/>
    </w:pPr>
    <w:rPr>
      <w:rFonts w:ascii="Times New Roman" w:eastAsia="宋体" w:hAnsi="Times New Roman" w:cs="Times New Roman"/>
      <w:sz w:val="20"/>
      <w:szCs w:val="20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Char">
    <w:name w:val="标题 3 Char"/>
    <w:basedOn w:val="a0"/>
    <w:link w:val="3"/>
    <w:uiPriority w:val="9"/>
    <w:semiHidden/>
    <w:rsid w:val="00B11EE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 w:eastAsia="zh-CN"/>
    </w:rPr>
  </w:style>
  <w:style w:type="paragraph" w:styleId="a6">
    <w:name w:val="caption"/>
    <w:basedOn w:val="a"/>
    <w:next w:val="a"/>
    <w:uiPriority w:val="35"/>
    <w:unhideWhenUsed/>
    <w:qFormat/>
    <w:rsid w:val="0014567B"/>
    <w:pPr>
      <w:spacing w:after="200"/>
    </w:pPr>
    <w:rPr>
      <w:i/>
      <w:iCs/>
      <w:color w:val="44546A" w:themeColor="text2"/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6D1C6D"/>
    <w:rPr>
      <w:sz w:val="16"/>
      <w:szCs w:val="16"/>
    </w:rPr>
  </w:style>
  <w:style w:type="paragraph" w:styleId="a8">
    <w:name w:val="annotation text"/>
    <w:basedOn w:val="a"/>
    <w:link w:val="Char1"/>
    <w:uiPriority w:val="99"/>
    <w:unhideWhenUsed/>
    <w:rsid w:val="006D1C6D"/>
  </w:style>
  <w:style w:type="character" w:customStyle="1" w:styleId="Char1">
    <w:name w:val="批注文字 Char"/>
    <w:basedOn w:val="a0"/>
    <w:link w:val="a8"/>
    <w:uiPriority w:val="99"/>
    <w:rsid w:val="006D1C6D"/>
    <w:rPr>
      <w:rFonts w:ascii="Arial" w:eastAsia="宋体" w:hAnsi="Arial" w:cs="Times New Roman"/>
      <w:sz w:val="20"/>
      <w:szCs w:val="20"/>
      <w:lang w:val="en-US" w:eastAsia="zh-CN"/>
    </w:rPr>
  </w:style>
  <w:style w:type="paragraph" w:styleId="a9">
    <w:name w:val="annotation subject"/>
    <w:basedOn w:val="a8"/>
    <w:next w:val="a8"/>
    <w:link w:val="Char2"/>
    <w:uiPriority w:val="99"/>
    <w:semiHidden/>
    <w:unhideWhenUsed/>
    <w:rsid w:val="006D1C6D"/>
    <w:rPr>
      <w:b/>
      <w:bCs/>
    </w:rPr>
  </w:style>
  <w:style w:type="character" w:customStyle="1" w:styleId="Char2">
    <w:name w:val="批注主题 Char"/>
    <w:basedOn w:val="Char1"/>
    <w:link w:val="a9"/>
    <w:uiPriority w:val="99"/>
    <w:semiHidden/>
    <w:rsid w:val="006D1C6D"/>
    <w:rPr>
      <w:rFonts w:ascii="Arial" w:eastAsia="宋体" w:hAnsi="Arial" w:cs="Times New Roman"/>
      <w:b/>
      <w:bCs/>
      <w:sz w:val="20"/>
      <w:szCs w:val="20"/>
      <w:lang w:val="en-US" w:eastAsia="zh-CN"/>
    </w:rPr>
  </w:style>
  <w:style w:type="paragraph" w:styleId="aa">
    <w:name w:val="Balloon Text"/>
    <w:basedOn w:val="a"/>
    <w:link w:val="Char3"/>
    <w:uiPriority w:val="99"/>
    <w:semiHidden/>
    <w:unhideWhenUsed/>
    <w:rsid w:val="006D1C6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3">
    <w:name w:val="批注框文本 Char"/>
    <w:basedOn w:val="a0"/>
    <w:link w:val="aa"/>
    <w:uiPriority w:val="99"/>
    <w:semiHidden/>
    <w:rsid w:val="006D1C6D"/>
    <w:rPr>
      <w:rFonts w:ascii="Segoe UI" w:eastAsia="宋体" w:hAnsi="Segoe UI" w:cs="Segoe UI"/>
      <w:sz w:val="18"/>
      <w:szCs w:val="18"/>
      <w:lang w:val="en-US" w:eastAsia="zh-CN"/>
    </w:rPr>
  </w:style>
  <w:style w:type="paragraph" w:styleId="ab">
    <w:name w:val="Normal (Web)"/>
    <w:basedOn w:val="a"/>
    <w:uiPriority w:val="99"/>
    <w:semiHidden/>
    <w:unhideWhenUsed/>
    <w:rsid w:val="00D02F6D"/>
    <w:pPr>
      <w:overflowPunct/>
      <w:autoSpaceDE/>
      <w:autoSpaceDN/>
      <w:adjustRightInd/>
      <w:spacing w:before="100" w:beforeAutospacing="1" w:after="100" w:afterAutospacing="1"/>
      <w:jc w:val="left"/>
    </w:pPr>
    <w:rPr>
      <w:rFonts w:eastAsiaTheme="minorEastAsia"/>
      <w:sz w:val="24"/>
      <w:szCs w:val="24"/>
    </w:rPr>
  </w:style>
  <w:style w:type="paragraph" w:styleId="ac">
    <w:name w:val="header"/>
    <w:basedOn w:val="a"/>
    <w:link w:val="Char4"/>
    <w:uiPriority w:val="99"/>
    <w:unhideWhenUsed/>
    <w:rsid w:val="00F402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4">
    <w:name w:val="页眉 Char"/>
    <w:basedOn w:val="a0"/>
    <w:link w:val="ac"/>
    <w:uiPriority w:val="99"/>
    <w:rsid w:val="00F4025C"/>
    <w:rPr>
      <w:rFonts w:ascii="Arial" w:eastAsia="宋体" w:hAnsi="Arial" w:cs="Times New Roman"/>
      <w:sz w:val="18"/>
      <w:szCs w:val="18"/>
      <w:lang w:val="en-US" w:eastAsia="zh-CN"/>
    </w:rPr>
  </w:style>
  <w:style w:type="paragraph" w:styleId="ad">
    <w:name w:val="footer"/>
    <w:basedOn w:val="a"/>
    <w:link w:val="Char5"/>
    <w:uiPriority w:val="99"/>
    <w:unhideWhenUsed/>
    <w:rsid w:val="00F402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5">
    <w:name w:val="页脚 Char"/>
    <w:basedOn w:val="a0"/>
    <w:link w:val="ad"/>
    <w:uiPriority w:val="99"/>
    <w:rsid w:val="00F4025C"/>
    <w:rPr>
      <w:rFonts w:ascii="Arial" w:eastAsia="宋体" w:hAnsi="Arial" w:cs="Times New Roman"/>
      <w:sz w:val="18"/>
      <w:szCs w:val="18"/>
      <w:lang w:val="en-US" w:eastAsia="zh-CN"/>
    </w:rPr>
  </w:style>
  <w:style w:type="character" w:styleId="ae">
    <w:name w:val="Intense Emphasis"/>
    <w:basedOn w:val="a0"/>
    <w:uiPriority w:val="21"/>
    <w:qFormat/>
    <w:rsid w:val="0046038C"/>
    <w:rPr>
      <w:i/>
      <w:iCs/>
      <w:color w:val="4472C4" w:themeColor="accent1"/>
    </w:rPr>
  </w:style>
  <w:style w:type="paragraph" w:customStyle="1" w:styleId="Agreement">
    <w:name w:val="Agreement"/>
    <w:basedOn w:val="a"/>
    <w:next w:val="a"/>
    <w:qFormat/>
    <w:rsid w:val="00C66B84"/>
    <w:pPr>
      <w:tabs>
        <w:tab w:val="num" w:pos="1619"/>
      </w:tabs>
      <w:overflowPunct/>
      <w:autoSpaceDE/>
      <w:autoSpaceDN/>
      <w:adjustRightInd/>
      <w:spacing w:before="60" w:after="0"/>
      <w:ind w:left="1619"/>
      <w:jc w:val="left"/>
    </w:pPr>
    <w:rPr>
      <w:rFonts w:eastAsia="MS Mincho"/>
      <w:b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C66B84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C66B84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af">
    <w:name w:val="Revision"/>
    <w:hidden/>
    <w:uiPriority w:val="99"/>
    <w:semiHidden/>
    <w:rsid w:val="00931B41"/>
    <w:pPr>
      <w:spacing w:after="0" w:line="240" w:lineRule="auto"/>
    </w:pPr>
    <w:rPr>
      <w:rFonts w:ascii="Arial" w:eastAsia="宋体" w:hAnsi="Arial" w:cs="Times New Roman"/>
      <w:sz w:val="20"/>
      <w:szCs w:val="20"/>
      <w:lang w:eastAsia="zh-CN"/>
    </w:rPr>
  </w:style>
  <w:style w:type="paragraph" w:customStyle="1" w:styleId="B2">
    <w:name w:val="B2"/>
    <w:basedOn w:val="20"/>
    <w:link w:val="B2Char"/>
    <w:qFormat/>
    <w:rsid w:val="004F428F"/>
    <w:pPr>
      <w:widowControl w:val="0"/>
      <w:overflowPunct/>
      <w:autoSpaceDE/>
      <w:autoSpaceDN/>
      <w:adjustRightInd/>
      <w:spacing w:after="180"/>
      <w:ind w:leftChars="0" w:left="851" w:firstLineChars="0" w:hanging="284"/>
      <w:contextualSpacing w:val="0"/>
    </w:pPr>
    <w:rPr>
      <w:rFonts w:asciiTheme="minorHAnsi" w:eastAsia="MS Mincho" w:hAnsiTheme="minorHAnsi" w:cstheme="minorBidi"/>
      <w:kern w:val="2"/>
      <w:sz w:val="21"/>
      <w:szCs w:val="22"/>
    </w:rPr>
  </w:style>
  <w:style w:type="character" w:customStyle="1" w:styleId="B2Char">
    <w:name w:val="B2 Char"/>
    <w:link w:val="B2"/>
    <w:qFormat/>
    <w:rsid w:val="004F428F"/>
    <w:rPr>
      <w:rFonts w:eastAsia="MS Mincho"/>
      <w:kern w:val="2"/>
      <w:sz w:val="21"/>
      <w:lang w:eastAsia="zh-CN"/>
    </w:rPr>
  </w:style>
  <w:style w:type="paragraph" w:customStyle="1" w:styleId="B3">
    <w:name w:val="B3"/>
    <w:basedOn w:val="30"/>
    <w:link w:val="B3Char"/>
    <w:qFormat/>
    <w:rsid w:val="004F428F"/>
    <w:pPr>
      <w:widowControl w:val="0"/>
      <w:overflowPunct/>
      <w:autoSpaceDE/>
      <w:autoSpaceDN/>
      <w:adjustRightInd/>
      <w:spacing w:after="180"/>
      <w:ind w:leftChars="0" w:left="1135" w:firstLineChars="0" w:hanging="284"/>
      <w:contextualSpacing w:val="0"/>
    </w:pPr>
    <w:rPr>
      <w:rFonts w:asciiTheme="minorHAnsi" w:eastAsia="Times New Roman" w:hAnsiTheme="minorHAnsi" w:cstheme="minorBidi"/>
      <w:snapToGrid w:val="0"/>
      <w:color w:val="000000"/>
      <w:kern w:val="2"/>
      <w:sz w:val="21"/>
      <w:szCs w:val="22"/>
      <w:lang w:eastAsia="ja-JP"/>
    </w:rPr>
  </w:style>
  <w:style w:type="character" w:customStyle="1" w:styleId="B3Char">
    <w:name w:val="B3 Char"/>
    <w:link w:val="B3"/>
    <w:rsid w:val="004F428F"/>
    <w:rPr>
      <w:rFonts w:eastAsia="Times New Roman"/>
      <w:snapToGrid w:val="0"/>
      <w:color w:val="000000"/>
      <w:kern w:val="2"/>
      <w:sz w:val="21"/>
      <w:lang w:eastAsia="ja-JP"/>
    </w:rPr>
  </w:style>
  <w:style w:type="paragraph" w:styleId="20">
    <w:name w:val="List 2"/>
    <w:basedOn w:val="a"/>
    <w:uiPriority w:val="99"/>
    <w:semiHidden/>
    <w:unhideWhenUsed/>
    <w:rsid w:val="004F428F"/>
    <w:pPr>
      <w:ind w:leftChars="2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4F428F"/>
    <w:pPr>
      <w:ind w:leftChars="400" w:left="100" w:hangingChars="200" w:hanging="200"/>
      <w:contextualSpacing/>
    </w:pPr>
  </w:style>
  <w:style w:type="character" w:customStyle="1" w:styleId="B3Char2">
    <w:name w:val="B3 Char2"/>
    <w:qFormat/>
    <w:rsid w:val="00735DE8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53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1254</Words>
  <Characters>7149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 Ltd.</Company>
  <LinksUpToDate>false</LinksUpToDate>
  <CharactersWithSpaces>8387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Huawei/HiSilicon</dc:creator>
  <cp:keywords/>
  <dc:description/>
  <cp:lastModifiedBy>Huawei</cp:lastModifiedBy>
  <cp:revision>4</cp:revision>
  <dcterms:created xsi:type="dcterms:W3CDTF">2023-04-06T10:39:00Z</dcterms:created>
  <dcterms:modified xsi:type="dcterms:W3CDTF">2023-04-07T09:37:00Z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(3)SU2yqHNLC9yZMeZDZvUewFlC5zJc10ZuNVp1KDyxNiJ4CkiF9RSmpEzE3Iml6PQHTzZAP0mG
7bgqSIuBRj6IW7v6QBN+bPYMHEMXsCsjFr3s5L6gX3SGEjOUW+BXqwqkGi0lU6QiuhM9ghz4
x6RzvxYgsS3UFZhbdUmPt33X2xeQcGKEI9W3/g6Q+ufZ0v1NB61oOtyyh0AB2IN6KWZbOoMF
Aaev1kNndiEuTSBP0I</vt:lpwstr>
  </property>
  <property fmtid="{D5CDD505-2E9C-101B-9397-08002B2CF9AE}" pid="3" name="_2015_ms_pID_7253431">
    <vt:lpwstr>5M8wOefZTgjQaoYyDmRIJyGB+M4fMFf4Jtfo/DdWFYN4PbHH/R/C7x
pFabOJhVp19MlRY+/ejLNcLiZrXPkGdqZFs7rA/LCCA5zbaeQBf6exjAHOcOxZCmszCzSCUA
wbjVUrhLu7v4yRomXf4+g+WRpPA9D8p6XHlniXhyhta3ee54xzDnOQJQvn+wI1M7VVPnoKq+
fT77hg+lcrMY9ful0alkZg+zyJjqJroIgsLO</vt:lpwstr>
  </property>
  <property fmtid="{D5CDD505-2E9C-101B-9397-08002B2CF9AE}" pid="4" name="_2015_ms_pID_7253432">
    <vt:lpwstr>LWGB93jzAz+LvD+C7oaGrHE=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1680828410</vt:lpwstr>
  </property>
</Properties>
</file>